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4C" w:rsidRDefault="00877D4C">
      <w:pPr>
        <w:pStyle w:val="1"/>
      </w:pPr>
      <w:bookmarkStart w:id="0" w:name="_Toc49719361"/>
      <w:bookmarkStart w:id="1" w:name="_GoBack"/>
      <w:bookmarkEnd w:id="1"/>
    </w:p>
    <w:p w:rsidR="00877D4C" w:rsidRDefault="00D83BBD">
      <w:pPr>
        <w:pStyle w:val="1"/>
      </w:pPr>
      <w:bookmarkStart w:id="2" w:name="_Toc18344"/>
      <w:r>
        <w:rPr>
          <w:rFonts w:hint="eastAsia"/>
        </w:rPr>
        <w:t>广州市关于深入推进城市更新促进历史</w:t>
      </w:r>
      <w:bookmarkEnd w:id="0"/>
      <w:bookmarkEnd w:id="2"/>
    </w:p>
    <w:p w:rsidR="00877D4C" w:rsidRDefault="00D83BBD">
      <w:pPr>
        <w:spacing w:line="600" w:lineRule="exact"/>
        <w:jc w:val="center"/>
        <w:rPr>
          <w:rFonts w:eastAsia="方正小标宋简体"/>
          <w:bCs/>
          <w:kern w:val="44"/>
          <w:sz w:val="44"/>
          <w:szCs w:val="44"/>
        </w:rPr>
      </w:pPr>
      <w:r>
        <w:rPr>
          <w:rFonts w:eastAsia="方正小标宋简体" w:hint="eastAsia"/>
          <w:bCs/>
          <w:kern w:val="44"/>
          <w:sz w:val="44"/>
          <w:szCs w:val="44"/>
        </w:rPr>
        <w:t>文化名城保护利用的工作指引</w:t>
      </w:r>
    </w:p>
    <w:p w:rsidR="00877D4C" w:rsidRDefault="00877D4C">
      <w:pPr>
        <w:spacing w:line="560" w:lineRule="exact"/>
        <w:jc w:val="center"/>
        <w:rPr>
          <w:rFonts w:ascii="方正小标宋简体" w:eastAsia="方正小标宋简体" w:hAnsi="仿宋"/>
          <w:sz w:val="44"/>
          <w:szCs w:val="44"/>
        </w:rPr>
      </w:pPr>
    </w:p>
    <w:p w:rsidR="00877D4C" w:rsidRDefault="00D83BBD">
      <w:pPr>
        <w:spacing w:line="560" w:lineRule="exact"/>
        <w:ind w:firstLineChars="200" w:firstLine="640"/>
        <w:rPr>
          <w:rFonts w:eastAsia="黑体"/>
          <w:szCs w:val="32"/>
        </w:rPr>
      </w:pPr>
      <w:r>
        <w:rPr>
          <w:rFonts w:eastAsia="黑体" w:hint="eastAsia"/>
          <w:szCs w:val="32"/>
        </w:rPr>
        <w:t>一、</w:t>
      </w:r>
      <w:r>
        <w:rPr>
          <w:rFonts w:eastAsia="黑体" w:hint="eastAsia"/>
          <w:szCs w:val="32"/>
        </w:rPr>
        <w:t>工作目标</w:t>
      </w:r>
    </w:p>
    <w:p w:rsidR="00877D4C" w:rsidRDefault="00D83BBD">
      <w:pPr>
        <w:spacing w:line="560" w:lineRule="exact"/>
        <w:ind w:firstLineChars="200" w:firstLine="640"/>
        <w:rPr>
          <w:szCs w:val="32"/>
        </w:rPr>
      </w:pPr>
      <w:r>
        <w:rPr>
          <w:rFonts w:hint="eastAsia"/>
          <w:szCs w:val="32"/>
        </w:rPr>
        <w:t>以习近平总书记视察广东的重要讲话及关于历史文化保护的重要指示为遵循，深入推进城市更新与历史文化保护传承、创新</w:t>
      </w:r>
      <w:r>
        <w:rPr>
          <w:rFonts w:hint="eastAsia"/>
          <w:szCs w:val="32"/>
        </w:rPr>
        <w:t>活化</w:t>
      </w:r>
      <w:r>
        <w:rPr>
          <w:rFonts w:hint="eastAsia"/>
          <w:szCs w:val="32"/>
        </w:rPr>
        <w:t>利用、人居环境提升协同互进，高度重视历史文化保护，不急功近利，不大拆大建，突出地方特色，注重人居环境改善，注重文明传承、文化延续。传承和弘扬优秀传统岭南文化，加快建设岭南文化中心和对外文化交流门户，实现广州老城市新活力</w:t>
      </w:r>
      <w:r>
        <w:rPr>
          <w:rFonts w:hint="eastAsia"/>
          <w:szCs w:val="32"/>
        </w:rPr>
        <w:t>，</w:t>
      </w:r>
      <w:r>
        <w:rPr>
          <w:rFonts w:hint="eastAsia"/>
          <w:szCs w:val="32"/>
        </w:rPr>
        <w:t>推动高质量发展</w:t>
      </w:r>
      <w:r>
        <w:rPr>
          <w:rFonts w:hint="eastAsia"/>
          <w:szCs w:val="32"/>
        </w:rPr>
        <w:t>。</w:t>
      </w:r>
    </w:p>
    <w:p w:rsidR="00877D4C" w:rsidRDefault="00D83BBD">
      <w:pPr>
        <w:spacing w:line="560" w:lineRule="exact"/>
        <w:ind w:firstLineChars="200" w:firstLine="640"/>
        <w:rPr>
          <w:rFonts w:eastAsia="黑体"/>
          <w:szCs w:val="32"/>
        </w:rPr>
      </w:pPr>
      <w:r>
        <w:rPr>
          <w:rFonts w:eastAsia="黑体" w:hint="eastAsia"/>
          <w:szCs w:val="32"/>
        </w:rPr>
        <w:t>二、基本原则</w:t>
      </w:r>
    </w:p>
    <w:p w:rsidR="00877D4C" w:rsidRDefault="00D83BBD">
      <w:pPr>
        <w:spacing w:line="560" w:lineRule="exact"/>
        <w:ind w:firstLineChars="200" w:firstLine="640"/>
        <w:rPr>
          <w:szCs w:val="32"/>
        </w:rPr>
      </w:pPr>
      <w:r>
        <w:rPr>
          <w:rFonts w:hint="eastAsia"/>
          <w:szCs w:val="32"/>
        </w:rPr>
        <w:t>城市更新过程中坚持历史文化传承，遵循保护优先、合理利用、惠民利民、鼓励创新的原则，</w:t>
      </w:r>
      <w:r>
        <w:rPr>
          <w:rFonts w:hint="eastAsia"/>
          <w:szCs w:val="32"/>
        </w:rPr>
        <w:t>保</w:t>
      </w:r>
      <w:r>
        <w:rPr>
          <w:rFonts w:hint="eastAsia"/>
          <w:szCs w:val="32"/>
        </w:rPr>
        <w:t>护历史文化遗产的真实性和完整性</w:t>
      </w:r>
      <w:r>
        <w:rPr>
          <w:rFonts w:hint="eastAsia"/>
          <w:szCs w:val="32"/>
        </w:rPr>
        <w:t>及</w:t>
      </w:r>
      <w:r>
        <w:rPr>
          <w:rFonts w:hint="eastAsia"/>
          <w:szCs w:val="32"/>
        </w:rPr>
        <w:t>与其相互依存的自然</w:t>
      </w:r>
      <w:r>
        <w:rPr>
          <w:rFonts w:hint="eastAsia"/>
          <w:szCs w:val="32"/>
        </w:rPr>
        <w:t>、</w:t>
      </w:r>
      <w:r>
        <w:rPr>
          <w:rFonts w:hint="eastAsia"/>
          <w:szCs w:val="32"/>
        </w:rPr>
        <w:t>人文景观，延续历史文化名城的传统格局和风貌。</w:t>
      </w:r>
    </w:p>
    <w:p w:rsidR="00877D4C" w:rsidRDefault="00D83BBD">
      <w:pPr>
        <w:spacing w:line="560" w:lineRule="exact"/>
        <w:ind w:firstLineChars="200" w:firstLine="640"/>
        <w:rPr>
          <w:rFonts w:eastAsia="黑体"/>
          <w:szCs w:val="32"/>
        </w:rPr>
      </w:pPr>
      <w:r>
        <w:rPr>
          <w:rFonts w:eastAsia="黑体" w:hint="eastAsia"/>
          <w:szCs w:val="32"/>
        </w:rPr>
        <w:t>三、主要内容</w:t>
      </w:r>
    </w:p>
    <w:p w:rsidR="00877D4C" w:rsidRDefault="00D83BBD">
      <w:pPr>
        <w:spacing w:line="560" w:lineRule="exact"/>
        <w:ind w:firstLineChars="200" w:firstLine="640"/>
        <w:rPr>
          <w:rFonts w:eastAsia="楷体_GB2312"/>
          <w:bCs/>
          <w:szCs w:val="32"/>
        </w:rPr>
      </w:pPr>
      <w:r>
        <w:rPr>
          <w:rFonts w:eastAsia="楷体_GB2312" w:hint="eastAsia"/>
          <w:bCs/>
          <w:szCs w:val="32"/>
        </w:rPr>
        <w:t>（一）高度重视历史文化保护</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始终把历史文化保护放在第一位，</w:t>
      </w:r>
      <w:r>
        <w:rPr>
          <w:rFonts w:ascii="仿宋_GB2312" w:hAnsi="仿宋_GB2312" w:cs="仿宋_GB2312" w:hint="eastAsia"/>
          <w:szCs w:val="32"/>
        </w:rPr>
        <w:t>严格落实保护规划，历史城区内严格控制新增建设量、严格控制建筑高度，</w:t>
      </w:r>
      <w:r>
        <w:rPr>
          <w:rFonts w:hint="eastAsia"/>
          <w:szCs w:val="32"/>
        </w:rPr>
        <w:t>对历史文化街区、历史文化名镇、历史文化名村、历史风貌区、传统村落、文物古迹、古树名木、历史建筑（含线索）、传统风貌建筑（含线索）及其他具有保护价值的历史文化遗产</w:t>
      </w:r>
      <w:r>
        <w:rPr>
          <w:rFonts w:hint="eastAsia"/>
          <w:szCs w:val="32"/>
        </w:rPr>
        <w:lastRenderedPageBreak/>
        <w:t>优先保护、原址保护、整体保护。</w:t>
      </w:r>
      <w:r>
        <w:rPr>
          <w:rFonts w:hint="eastAsia"/>
          <w:szCs w:val="32"/>
        </w:rPr>
        <w:t>历史文化街区、历史文化名镇、历史文化名村、历史风貌区、传统村落保护范围内不适用全面改造，原则上以现状保留及微改造为主。不拆除不可移动文物、历史建筑和传统民居，不破坏地形地貌，不砍老树。</w:t>
      </w:r>
    </w:p>
    <w:p w:rsidR="00877D4C" w:rsidRDefault="00D83BBD">
      <w:pPr>
        <w:spacing w:line="560" w:lineRule="exact"/>
        <w:ind w:firstLineChars="199" w:firstLine="637"/>
        <w:rPr>
          <w:rFonts w:eastAsia="楷体_GB2312"/>
          <w:bCs/>
          <w:szCs w:val="32"/>
        </w:rPr>
      </w:pPr>
      <w:r>
        <w:rPr>
          <w:rFonts w:eastAsia="楷体_GB2312" w:hint="eastAsia"/>
          <w:bCs/>
          <w:szCs w:val="32"/>
        </w:rPr>
        <w:t>（二）着重保护历史风貌和传统格局的完整性、真实性、延续性</w:t>
      </w:r>
      <w:r>
        <w:rPr>
          <w:rFonts w:eastAsia="楷体_GB2312" w:hint="eastAsia"/>
          <w:bCs/>
          <w:szCs w:val="32"/>
        </w:rPr>
        <w:t>。</w:t>
      </w:r>
    </w:p>
    <w:p w:rsidR="00877D4C" w:rsidRDefault="00D83BBD">
      <w:pPr>
        <w:spacing w:line="560" w:lineRule="exact"/>
        <w:ind w:firstLineChars="199" w:firstLine="637"/>
        <w:rPr>
          <w:szCs w:val="32"/>
        </w:rPr>
      </w:pPr>
      <w:r>
        <w:rPr>
          <w:rFonts w:hint="eastAsia"/>
          <w:szCs w:val="32"/>
        </w:rPr>
        <w:t>应保护传统选址、格局、风貌以及自然和田园景观等整体空间形态与环境。重点修复传统建筑集中连片区</w:t>
      </w:r>
      <w:r>
        <w:rPr>
          <w:rFonts w:hint="eastAsia"/>
          <w:szCs w:val="32"/>
        </w:rPr>
        <w:t>域</w:t>
      </w:r>
      <w:r>
        <w:rPr>
          <w:rFonts w:hint="eastAsia"/>
          <w:szCs w:val="32"/>
        </w:rPr>
        <w:t>，保护传统街巷、古路桥涵垣、古井塘、古树名木等历史环境要素，避免填塘、拉直道路等改变历史格局和风貌的行为，禁止没有依据的重建和仿制。</w:t>
      </w:r>
    </w:p>
    <w:p w:rsidR="00877D4C" w:rsidRDefault="00D83BBD">
      <w:pPr>
        <w:spacing w:line="560" w:lineRule="exact"/>
        <w:ind w:firstLineChars="200" w:firstLine="640"/>
        <w:rPr>
          <w:rFonts w:eastAsia="楷体_GB2312"/>
          <w:bCs/>
          <w:szCs w:val="32"/>
        </w:rPr>
      </w:pPr>
      <w:r>
        <w:rPr>
          <w:rFonts w:eastAsia="楷体_GB2312" w:hint="eastAsia"/>
          <w:bCs/>
          <w:szCs w:val="32"/>
        </w:rPr>
        <w:t>（三）注重文明传承，文化延续</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保护各</w:t>
      </w:r>
      <w:r>
        <w:rPr>
          <w:rFonts w:hint="eastAsia"/>
          <w:szCs w:val="32"/>
        </w:rPr>
        <w:t>个时期的历史记忆，注重历史文化遗产价值的完整性，挖掘和保护历史文化遗产的历史、文化、艺术、科学、经济、社会等价值。传承优秀的传统价值观、传统习俗、传统技艺和文化活动，着重保护与之相关的祠堂、骑楼等特色实物、场所和非物质文化遗产，让历史文化与现代生活融为一体。</w:t>
      </w:r>
    </w:p>
    <w:p w:rsidR="00877D4C" w:rsidRDefault="00D83BBD">
      <w:pPr>
        <w:spacing w:line="560" w:lineRule="exact"/>
        <w:ind w:firstLineChars="200" w:firstLine="640"/>
        <w:rPr>
          <w:rFonts w:eastAsia="楷体_GB2312"/>
          <w:bCs/>
          <w:szCs w:val="32"/>
        </w:rPr>
      </w:pPr>
      <w:r>
        <w:rPr>
          <w:rFonts w:eastAsia="楷体_GB2312" w:hint="eastAsia"/>
          <w:bCs/>
          <w:szCs w:val="32"/>
        </w:rPr>
        <w:t>（四）严格落实保护优先</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城市更新中涉及历史文化街区、历史文化名镇、历史文化名村、历史风貌区、传统村落的，保护规划未经批准，不得审批城市更新策划方案、详细规划、实施方案。涉及文物古迹、古树名木、历史建筑及线索、传统风貌建筑及线索等</w:t>
      </w:r>
      <w:r>
        <w:rPr>
          <w:rFonts w:hint="eastAsia"/>
          <w:szCs w:val="32"/>
        </w:rPr>
        <w:lastRenderedPageBreak/>
        <w:t>历史文化遗产按照相关法</w:t>
      </w:r>
      <w:r>
        <w:rPr>
          <w:rFonts w:hint="eastAsia"/>
          <w:szCs w:val="32"/>
        </w:rPr>
        <w:t>律法规要求进行保护，并依法办理审批手续。</w:t>
      </w:r>
    </w:p>
    <w:p w:rsidR="00877D4C" w:rsidRDefault="00D83BBD">
      <w:pPr>
        <w:spacing w:line="560" w:lineRule="exact"/>
        <w:ind w:firstLineChars="200" w:firstLine="640"/>
        <w:rPr>
          <w:rFonts w:eastAsia="楷体_GB2312"/>
          <w:bCs/>
          <w:szCs w:val="32"/>
        </w:rPr>
      </w:pPr>
      <w:r>
        <w:rPr>
          <w:rFonts w:eastAsia="楷体_GB2312" w:hint="eastAsia"/>
          <w:bCs/>
          <w:szCs w:val="32"/>
        </w:rPr>
        <w:t>（五）开展历史文化遗产保护对象现场调查评估</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结合城市更新基础数据调查工作，同步开展历史文化遗产保护对象现场调查评估，组织填写《历史文化遗产保护对象核查表》（附件）。在详细规划中编制历史文化遗产保护专章，开展历史文化遗产影响评估。将历史文化遗产保护对象纳入实施方案或征收补偿方案，并依法办理审批手续。</w:t>
      </w:r>
    </w:p>
    <w:p w:rsidR="00877D4C" w:rsidRDefault="00D83BBD">
      <w:pPr>
        <w:spacing w:line="560" w:lineRule="exact"/>
        <w:ind w:firstLineChars="200" w:firstLine="640"/>
        <w:rPr>
          <w:rFonts w:eastAsia="楷体_GB2312"/>
          <w:bCs/>
          <w:szCs w:val="32"/>
        </w:rPr>
      </w:pPr>
      <w:r>
        <w:rPr>
          <w:rFonts w:eastAsia="楷体_GB2312" w:hint="eastAsia"/>
          <w:bCs/>
          <w:szCs w:val="32"/>
        </w:rPr>
        <w:t>（六）多措并举促进历史文化遗产合理保护利用</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鼓励历史文化遗产多功能使用，设立博物馆、纪念馆、社区图书馆、民俗文化体验馆等，鼓励用作非物质文化遗产保护、岭南民间工艺传承、中华老字号经营等，鼓励引入众创空间、商务办公、文化创意、科技孵化、特色餐饮、民宿客栈等，有关要求按照有关法律、法规和相关文件规定执行。</w:t>
      </w:r>
    </w:p>
    <w:p w:rsidR="00877D4C" w:rsidRDefault="00D83BBD">
      <w:pPr>
        <w:spacing w:line="560" w:lineRule="exact"/>
        <w:ind w:firstLineChars="200" w:firstLine="640"/>
        <w:rPr>
          <w:szCs w:val="32"/>
        </w:rPr>
      </w:pPr>
      <w:r>
        <w:rPr>
          <w:rFonts w:hint="eastAsia"/>
          <w:szCs w:val="32"/>
        </w:rPr>
        <w:t>鼓励引入各类社会资金参与，以收购、产权置换等方式对历史文化遗产进行合理利用。履行历史文化遗产保护责任，将历史文化遗产用于公益性功能的，可全部不计入容积率。按照《广州市促进历史建筑合理利用实施办法》（穗府办规〔</w:t>
      </w:r>
      <w:r>
        <w:rPr>
          <w:rFonts w:hint="eastAsia"/>
          <w:szCs w:val="32"/>
        </w:rPr>
        <w:t>2020</w:t>
      </w:r>
      <w:r>
        <w:rPr>
          <w:rFonts w:hint="eastAsia"/>
          <w:szCs w:val="32"/>
        </w:rPr>
        <w:t>〕</w:t>
      </w:r>
      <w:r>
        <w:rPr>
          <w:rFonts w:hint="eastAsia"/>
          <w:szCs w:val="32"/>
        </w:rPr>
        <w:t>3</w:t>
      </w:r>
      <w:r>
        <w:rPr>
          <w:rFonts w:hint="eastAsia"/>
          <w:szCs w:val="32"/>
        </w:rPr>
        <w:t>号）《广州市历史建筑修缮监督管理</w:t>
      </w:r>
      <w:r>
        <w:rPr>
          <w:rFonts w:hint="eastAsia"/>
          <w:szCs w:val="32"/>
        </w:rPr>
        <w:t>与补助办法》（穗建规字〔</w:t>
      </w:r>
      <w:r>
        <w:rPr>
          <w:rFonts w:hint="eastAsia"/>
          <w:szCs w:val="32"/>
        </w:rPr>
        <w:t>2019</w:t>
      </w:r>
      <w:r>
        <w:rPr>
          <w:rFonts w:hint="eastAsia"/>
          <w:szCs w:val="32"/>
        </w:rPr>
        <w:t>〕</w:t>
      </w:r>
      <w:r>
        <w:rPr>
          <w:rFonts w:hint="eastAsia"/>
          <w:szCs w:val="32"/>
        </w:rPr>
        <w:t>15</w:t>
      </w:r>
      <w:r>
        <w:rPr>
          <w:rFonts w:hint="eastAsia"/>
          <w:szCs w:val="32"/>
        </w:rPr>
        <w:t>号）对历史文化遗产中的建筑物适当增加使用面积，依法修缮</w:t>
      </w:r>
      <w:r>
        <w:rPr>
          <w:rFonts w:hint="eastAsia"/>
          <w:szCs w:val="32"/>
        </w:rPr>
        <w:t>的可</w:t>
      </w:r>
      <w:r>
        <w:rPr>
          <w:rFonts w:hint="eastAsia"/>
          <w:szCs w:val="32"/>
        </w:rPr>
        <w:t>申领补助。</w:t>
      </w:r>
    </w:p>
    <w:p w:rsidR="00877D4C" w:rsidRDefault="00D83BBD">
      <w:pPr>
        <w:spacing w:line="560" w:lineRule="exact"/>
        <w:ind w:firstLineChars="200" w:firstLine="640"/>
        <w:rPr>
          <w:rFonts w:eastAsia="楷体_GB2312"/>
          <w:bCs/>
          <w:szCs w:val="32"/>
        </w:rPr>
      </w:pPr>
      <w:r>
        <w:rPr>
          <w:rFonts w:eastAsia="楷体_GB2312" w:hint="eastAsia"/>
          <w:bCs/>
          <w:szCs w:val="32"/>
        </w:rPr>
        <w:t>（七）协同推进保护和更新</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历史文化保护利用项目可与更新项目组合实施，实行统一规划、统一实施、统一运营。因历史文化保护需要难以在</w:t>
      </w:r>
      <w:r>
        <w:rPr>
          <w:rFonts w:hint="eastAsia"/>
          <w:szCs w:val="32"/>
        </w:rPr>
        <w:lastRenderedPageBreak/>
        <w:t>项目所在地块实现经济平衡的，在总建设量平衡且符合历史文化名城保护要求的前提下，允许优先在地块所在的更新单元内进行容积率转移。确有困难的，可在项目所在的行政区范围内统筹，</w:t>
      </w:r>
      <w:r>
        <w:rPr>
          <w:rFonts w:hint="eastAsia"/>
          <w:szCs w:val="32"/>
          <w:lang w:val="zh-CN"/>
        </w:rPr>
        <w:t>经市政府同意可在全市范围内统筹</w:t>
      </w:r>
      <w:r>
        <w:rPr>
          <w:rFonts w:hint="eastAsia"/>
          <w:szCs w:val="32"/>
        </w:rPr>
        <w:t>。</w:t>
      </w:r>
    </w:p>
    <w:p w:rsidR="00877D4C" w:rsidRDefault="00D83BBD">
      <w:pPr>
        <w:spacing w:line="560" w:lineRule="exact"/>
        <w:ind w:firstLineChars="200" w:firstLine="640"/>
        <w:rPr>
          <w:szCs w:val="32"/>
        </w:rPr>
      </w:pPr>
      <w:r>
        <w:rPr>
          <w:rFonts w:hint="eastAsia"/>
          <w:szCs w:val="32"/>
        </w:rPr>
        <w:t>因保护保留历史文化街区、历史文化名镇、历史文化名村、历史风貌区、传统村落、</w:t>
      </w:r>
      <w:r>
        <w:rPr>
          <w:rFonts w:hint="eastAsia"/>
          <w:szCs w:val="32"/>
        </w:rPr>
        <w:t>文物古迹、古树名木、历史建筑（含线索）、传统风貌建筑（含线索）及其他具有保护价值的历史文化遗产产生的成本纳入改造成本核算。</w:t>
      </w:r>
    </w:p>
    <w:p w:rsidR="00877D4C" w:rsidRDefault="00D83BBD">
      <w:pPr>
        <w:spacing w:line="560" w:lineRule="exact"/>
        <w:ind w:firstLineChars="199" w:firstLine="637"/>
        <w:rPr>
          <w:rFonts w:eastAsia="楷体_GB2312"/>
          <w:bCs/>
          <w:szCs w:val="32"/>
        </w:rPr>
      </w:pPr>
      <w:r>
        <w:rPr>
          <w:rFonts w:eastAsia="楷体_GB2312" w:hint="eastAsia"/>
          <w:bCs/>
          <w:szCs w:val="32"/>
        </w:rPr>
        <w:t>（八）加强风貌管控</w:t>
      </w:r>
      <w:r>
        <w:rPr>
          <w:rFonts w:eastAsia="楷体_GB2312" w:hint="eastAsia"/>
          <w:bCs/>
          <w:szCs w:val="32"/>
        </w:rPr>
        <w:t>。</w:t>
      </w:r>
    </w:p>
    <w:p w:rsidR="00877D4C" w:rsidRDefault="00D83BBD">
      <w:pPr>
        <w:spacing w:line="560" w:lineRule="exact"/>
        <w:ind w:firstLineChars="199" w:firstLine="637"/>
        <w:rPr>
          <w:szCs w:val="32"/>
        </w:rPr>
      </w:pPr>
      <w:r>
        <w:rPr>
          <w:rFonts w:hint="eastAsia"/>
          <w:szCs w:val="32"/>
        </w:rPr>
        <w:t>在城市更新中应加强城市与建筑风貌管理，严格管控新建建筑。对历史文化遗产项目更多采用微改造的</w:t>
      </w:r>
      <w:r>
        <w:rPr>
          <w:rFonts w:ascii="仿宋_GB2312" w:hAnsi="仿宋_GB2312" w:cs="仿宋_GB2312" w:hint="eastAsia"/>
          <w:szCs w:val="32"/>
        </w:rPr>
        <w:t>“</w:t>
      </w:r>
      <w:r>
        <w:rPr>
          <w:rFonts w:hint="eastAsia"/>
          <w:szCs w:val="32"/>
        </w:rPr>
        <w:t>绣花功夫</w:t>
      </w:r>
      <w:r>
        <w:rPr>
          <w:rFonts w:ascii="仿宋_GB2312" w:hAnsi="仿宋_GB2312" w:cs="仿宋_GB2312" w:hint="eastAsia"/>
          <w:szCs w:val="32"/>
        </w:rPr>
        <w:t>”</w:t>
      </w:r>
      <w:r>
        <w:rPr>
          <w:rFonts w:hint="eastAsia"/>
          <w:szCs w:val="32"/>
        </w:rPr>
        <w:t>，突出岭南特色，注重人居环境改善，延续历史风貌。对历史文化遗产项目周边地区应开展城市设计，保持建筑、村落以及周边环境的整体空间形态和内在关系，在形体、色彩、体量、高度和空间环境等方面实现新旧融合，展现城市特色，体现城市魅力。</w:t>
      </w:r>
    </w:p>
    <w:p w:rsidR="00877D4C" w:rsidRDefault="00D83BBD">
      <w:pPr>
        <w:spacing w:line="560" w:lineRule="exact"/>
        <w:ind w:firstLineChars="200" w:firstLine="640"/>
        <w:rPr>
          <w:rFonts w:eastAsia="楷体_GB2312"/>
          <w:bCs/>
          <w:szCs w:val="32"/>
        </w:rPr>
      </w:pPr>
      <w:r>
        <w:rPr>
          <w:rFonts w:eastAsia="楷体_GB2312" w:hint="eastAsia"/>
          <w:bCs/>
          <w:szCs w:val="32"/>
        </w:rPr>
        <w:t>（九）严格保护各类保护对象</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在城市更新项目中涉及文物、历史建筑及线索的应当原址保护，并按照有关法律法规的规定执行。</w:t>
      </w:r>
    </w:p>
    <w:p w:rsidR="00877D4C" w:rsidRDefault="00D83BBD">
      <w:pPr>
        <w:spacing w:line="560" w:lineRule="exact"/>
        <w:ind w:firstLineChars="200" w:firstLine="640"/>
        <w:rPr>
          <w:szCs w:val="32"/>
        </w:rPr>
      </w:pPr>
      <w:r>
        <w:rPr>
          <w:rFonts w:hint="eastAsia"/>
          <w:szCs w:val="32"/>
        </w:rPr>
        <w:t>在城市更新项目中对传统风貌建筑及线索应当实施原址保护，确因建设需要需迁移传统风貌建筑的（包括整体平移至异地、异地原材料原风貌重建等），各区人民政府应统筹同步审批传统风貌建筑的认定、迁移及传统村落保护发展规划、城市更新项目实施方案等事项，组织专家论证、公示</w:t>
      </w:r>
      <w:r>
        <w:rPr>
          <w:rFonts w:hint="eastAsia"/>
          <w:szCs w:val="32"/>
        </w:rPr>
        <w:lastRenderedPageBreak/>
        <w:t>和批准后，宜就近迁移、成组迁移，或者与文物和历史建筑形成整体风貌，且迁移后的传统风貌建筑组团的布局需反映原所在风貌片区的肌理格局。传统风貌建筑线索应先完成传统风貌建筑认定</w:t>
      </w:r>
      <w:r>
        <w:rPr>
          <w:rFonts w:hint="eastAsia"/>
          <w:szCs w:val="32"/>
        </w:rPr>
        <w:t>工作后，视认定情况及建设需要，再依程序申请办理迁移手续。</w:t>
      </w:r>
    </w:p>
    <w:p w:rsidR="00877D4C" w:rsidRDefault="00D83BBD">
      <w:pPr>
        <w:spacing w:line="560" w:lineRule="exact"/>
        <w:ind w:firstLineChars="200" w:firstLine="640"/>
        <w:rPr>
          <w:szCs w:val="32"/>
        </w:rPr>
      </w:pPr>
      <w:r>
        <w:rPr>
          <w:rFonts w:hint="eastAsia"/>
          <w:szCs w:val="32"/>
        </w:rPr>
        <w:t>在城市更新中对古树名木应原址保护，在编制实施方案时应采取措施进行避让。个别确需迁移古树名木的，应按照《广州市绿化条例》</w:t>
      </w:r>
      <w:r>
        <w:rPr>
          <w:rFonts w:hint="eastAsia"/>
          <w:szCs w:val="32"/>
        </w:rPr>
        <w:t>（</w:t>
      </w:r>
      <w:r>
        <w:rPr>
          <w:rFonts w:hint="eastAsia"/>
          <w:szCs w:val="32"/>
        </w:rPr>
        <w:t>广州市第十四届人民代表大会常务委员会公告第</w:t>
      </w:r>
      <w:r>
        <w:rPr>
          <w:rFonts w:hint="eastAsia"/>
          <w:szCs w:val="32"/>
        </w:rPr>
        <w:t>6</w:t>
      </w:r>
      <w:r>
        <w:rPr>
          <w:rFonts w:hint="eastAsia"/>
          <w:szCs w:val="32"/>
        </w:rPr>
        <w:t>号</w:t>
      </w:r>
      <w:r>
        <w:rPr>
          <w:rFonts w:hint="eastAsia"/>
          <w:szCs w:val="32"/>
        </w:rPr>
        <w:t>）</w:t>
      </w:r>
      <w:r>
        <w:rPr>
          <w:rFonts w:hint="eastAsia"/>
          <w:szCs w:val="32"/>
        </w:rPr>
        <w:t>《广州市古树名木迁移管理办法》（穗林业园林规〔</w:t>
      </w:r>
      <w:r>
        <w:rPr>
          <w:rFonts w:hint="eastAsia"/>
          <w:szCs w:val="32"/>
        </w:rPr>
        <w:t>2020</w:t>
      </w:r>
      <w:r>
        <w:rPr>
          <w:rFonts w:hint="eastAsia"/>
          <w:szCs w:val="32"/>
        </w:rPr>
        <w:t>〕</w:t>
      </w:r>
      <w:r>
        <w:rPr>
          <w:rFonts w:hint="eastAsia"/>
          <w:szCs w:val="32"/>
        </w:rPr>
        <w:t>1</w:t>
      </w:r>
      <w:r>
        <w:rPr>
          <w:rFonts w:hint="eastAsia"/>
          <w:szCs w:val="32"/>
        </w:rPr>
        <w:t>号）等相关规定执行。</w:t>
      </w:r>
    </w:p>
    <w:p w:rsidR="00877D4C" w:rsidRDefault="00D83BBD">
      <w:pPr>
        <w:spacing w:line="560" w:lineRule="exact"/>
        <w:ind w:firstLineChars="200" w:firstLine="640"/>
        <w:rPr>
          <w:szCs w:val="32"/>
        </w:rPr>
      </w:pPr>
      <w:r>
        <w:rPr>
          <w:rFonts w:hint="eastAsia"/>
          <w:szCs w:val="32"/>
        </w:rPr>
        <w:t>在历史文化街区、历史文化名镇名村、历史风貌区、传统村落、历史建筑的核心保护范围内，拆除一般建（构）筑物或其他设施的，按《广州市历史文化名城保护条例》</w:t>
      </w:r>
      <w:r>
        <w:rPr>
          <w:rFonts w:hint="eastAsia"/>
          <w:szCs w:val="32"/>
        </w:rPr>
        <w:t>（</w:t>
      </w:r>
      <w:r>
        <w:rPr>
          <w:rFonts w:hint="eastAsia"/>
          <w:szCs w:val="32"/>
        </w:rPr>
        <w:t>广州市第十四届人民代表大会常务委员会公告第</w:t>
      </w:r>
      <w:r>
        <w:rPr>
          <w:rFonts w:hint="eastAsia"/>
          <w:szCs w:val="32"/>
        </w:rPr>
        <w:t>77</w:t>
      </w:r>
      <w:r>
        <w:rPr>
          <w:rFonts w:hint="eastAsia"/>
          <w:szCs w:val="32"/>
        </w:rPr>
        <w:t>号</w:t>
      </w:r>
      <w:r>
        <w:rPr>
          <w:rFonts w:hint="eastAsia"/>
          <w:szCs w:val="32"/>
        </w:rPr>
        <w:t>）</w:t>
      </w:r>
      <w:r>
        <w:rPr>
          <w:rFonts w:hint="eastAsia"/>
          <w:szCs w:val="32"/>
        </w:rPr>
        <w:t>执行。</w:t>
      </w:r>
    </w:p>
    <w:p w:rsidR="00877D4C" w:rsidRDefault="00D83BBD">
      <w:pPr>
        <w:spacing w:line="560" w:lineRule="exact"/>
        <w:ind w:firstLineChars="200" w:firstLine="640"/>
        <w:rPr>
          <w:szCs w:val="32"/>
        </w:rPr>
      </w:pPr>
      <w:r>
        <w:rPr>
          <w:rFonts w:hint="eastAsia"/>
          <w:szCs w:val="32"/>
        </w:rPr>
        <w:t>各区应根据《广东省自然资源厅</w:t>
      </w:r>
      <w:r>
        <w:rPr>
          <w:szCs w:val="32"/>
        </w:rPr>
        <w:t xml:space="preserve"> </w:t>
      </w:r>
      <w:r>
        <w:rPr>
          <w:rFonts w:hint="eastAsia"/>
          <w:szCs w:val="32"/>
        </w:rPr>
        <w:t>广东省住房和城乡建设厅</w:t>
      </w:r>
      <w:r>
        <w:rPr>
          <w:szCs w:val="32"/>
        </w:rPr>
        <w:t xml:space="preserve"> </w:t>
      </w:r>
      <w:r>
        <w:rPr>
          <w:rFonts w:hint="eastAsia"/>
          <w:szCs w:val="32"/>
        </w:rPr>
        <w:t>广东省文化和旅游厅关于在拆旧复垦工作中加强乡村传统文化景观保护的紧急通知》（粤自然资函〔</w:t>
      </w:r>
      <w:r>
        <w:rPr>
          <w:szCs w:val="32"/>
        </w:rPr>
        <w:t>2019</w:t>
      </w:r>
      <w:r>
        <w:rPr>
          <w:rFonts w:hint="eastAsia"/>
          <w:szCs w:val="32"/>
        </w:rPr>
        <w:t>〕</w:t>
      </w:r>
      <w:r>
        <w:rPr>
          <w:szCs w:val="32"/>
        </w:rPr>
        <w:t>2005</w:t>
      </w:r>
      <w:r>
        <w:rPr>
          <w:rFonts w:hint="eastAsia"/>
          <w:szCs w:val="32"/>
        </w:rPr>
        <w:t>号）的相关要求，对村庄内有价值的建筑进行保护，纳入传统风貌建筑线索，加快传统风貌建筑认定工作。对农村旧住宅、废弃宅基地、空心村的拆除不可盲目推进，镇人民政府（街道办</w:t>
      </w:r>
      <w:r>
        <w:rPr>
          <w:rFonts w:hint="eastAsia"/>
          <w:szCs w:val="32"/>
        </w:rPr>
        <w:t>事处</w:t>
      </w:r>
      <w:r>
        <w:rPr>
          <w:rFonts w:hint="eastAsia"/>
          <w:szCs w:val="32"/>
        </w:rPr>
        <w:t>）在组织实施拆旧前，应征得区住房</w:t>
      </w:r>
      <w:r>
        <w:rPr>
          <w:rFonts w:hint="eastAsia"/>
          <w:szCs w:val="32"/>
        </w:rPr>
        <w:t>和</w:t>
      </w:r>
      <w:r>
        <w:rPr>
          <w:rFonts w:hint="eastAsia"/>
          <w:szCs w:val="32"/>
        </w:rPr>
        <w:t>城乡建设、文化广电旅游行政管理部门同意。对规模较大、集中连片实施拆旧的，镇人民政府（街道办</w:t>
      </w:r>
      <w:r>
        <w:rPr>
          <w:rFonts w:hint="eastAsia"/>
          <w:szCs w:val="32"/>
        </w:rPr>
        <w:t>事处</w:t>
      </w:r>
      <w:r>
        <w:rPr>
          <w:rFonts w:hint="eastAsia"/>
          <w:szCs w:val="32"/>
        </w:rPr>
        <w:t>）应充分做好论证和评估</w:t>
      </w:r>
      <w:r>
        <w:rPr>
          <w:rFonts w:hint="eastAsia"/>
          <w:szCs w:val="32"/>
        </w:rPr>
        <w:t>，</w:t>
      </w:r>
      <w:r>
        <w:rPr>
          <w:rFonts w:hint="eastAsia"/>
          <w:szCs w:val="32"/>
        </w:rPr>
        <w:t>慎重决策</w:t>
      </w:r>
      <w:r>
        <w:rPr>
          <w:rFonts w:hint="eastAsia"/>
          <w:szCs w:val="32"/>
        </w:rPr>
        <w:t>。</w:t>
      </w:r>
    </w:p>
    <w:p w:rsidR="00877D4C" w:rsidRDefault="00D83BBD">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lastRenderedPageBreak/>
        <w:t>（十）严格落实保护规划审批程序</w:t>
      </w:r>
      <w:r>
        <w:rPr>
          <w:rFonts w:ascii="楷体_GB2312" w:eastAsia="楷体_GB2312" w:hAnsi="楷体_GB2312" w:cs="楷体_GB2312" w:hint="eastAsia"/>
          <w:szCs w:val="32"/>
        </w:rPr>
        <w:t>。</w:t>
      </w:r>
    </w:p>
    <w:p w:rsidR="00877D4C" w:rsidRDefault="00D83BBD">
      <w:pPr>
        <w:spacing w:line="560" w:lineRule="exact"/>
        <w:ind w:firstLine="640"/>
        <w:rPr>
          <w:rFonts w:ascii="仿宋_GB2312"/>
          <w:szCs w:val="32"/>
        </w:rPr>
      </w:pPr>
      <w:r>
        <w:rPr>
          <w:rFonts w:ascii="仿宋_GB2312" w:hint="eastAsia"/>
          <w:szCs w:val="32"/>
        </w:rPr>
        <w:t>历史文化名镇名村保护规划按照《历史文化名城名镇名村保护条例》</w:t>
      </w:r>
      <w:r>
        <w:rPr>
          <w:rFonts w:ascii="仿宋_GB2312" w:hint="eastAsia"/>
          <w:szCs w:val="32"/>
        </w:rPr>
        <w:t>（中华人民共和国</w:t>
      </w:r>
      <w:r>
        <w:rPr>
          <w:rFonts w:ascii="仿宋_GB2312" w:hint="eastAsia"/>
          <w:szCs w:val="32"/>
        </w:rPr>
        <w:t>国务院令第</w:t>
      </w:r>
      <w:r>
        <w:rPr>
          <w:rFonts w:ascii="仿宋_GB2312" w:hint="eastAsia"/>
          <w:szCs w:val="32"/>
        </w:rPr>
        <w:t>524</w:t>
      </w:r>
      <w:r>
        <w:rPr>
          <w:rFonts w:ascii="仿宋_GB2312" w:hint="eastAsia"/>
          <w:szCs w:val="32"/>
        </w:rPr>
        <w:t>号</w:t>
      </w:r>
      <w:r>
        <w:rPr>
          <w:rFonts w:ascii="仿宋_GB2312" w:hint="eastAsia"/>
          <w:szCs w:val="32"/>
        </w:rPr>
        <w:t>）</w:t>
      </w:r>
      <w:r>
        <w:rPr>
          <w:rFonts w:ascii="仿宋_GB2312" w:hint="eastAsia"/>
          <w:szCs w:val="32"/>
        </w:rPr>
        <w:t>第三章“保护规划”予以执行。</w:t>
      </w:r>
    </w:p>
    <w:p w:rsidR="00877D4C" w:rsidRDefault="00D83BBD">
      <w:pPr>
        <w:spacing w:line="560" w:lineRule="exact"/>
        <w:ind w:firstLine="640"/>
        <w:rPr>
          <w:rFonts w:ascii="仿宋_GB2312"/>
          <w:szCs w:val="32"/>
        </w:rPr>
      </w:pPr>
      <w:r>
        <w:rPr>
          <w:rFonts w:ascii="仿宋_GB2312" w:hint="eastAsia"/>
          <w:szCs w:val="32"/>
        </w:rPr>
        <w:t>传统村落保护发展规划审查审批流程如下：</w:t>
      </w:r>
    </w:p>
    <w:p w:rsidR="00877D4C" w:rsidRDefault="00D83BBD">
      <w:pPr>
        <w:spacing w:line="560" w:lineRule="exact"/>
        <w:ind w:firstLineChars="200" w:firstLine="640"/>
        <w:rPr>
          <w:rFonts w:ascii="仿宋_GB2312"/>
          <w:szCs w:val="32"/>
        </w:rPr>
      </w:pPr>
      <w:r>
        <w:rPr>
          <w:rFonts w:ascii="仿宋_GB2312"/>
          <w:szCs w:val="32"/>
        </w:rPr>
        <w:t>1.</w:t>
      </w:r>
      <w:r>
        <w:rPr>
          <w:rFonts w:ascii="仿宋_GB2312" w:hint="eastAsia"/>
          <w:szCs w:val="32"/>
        </w:rPr>
        <w:t>属地区人民政府统筹组织编制传统村落保护发展规划，组织区相关职能部门进行审查，听取</w:t>
      </w:r>
      <w:r>
        <w:rPr>
          <w:rFonts w:hint="eastAsia"/>
          <w:szCs w:val="32"/>
        </w:rPr>
        <w:t>镇人民政府（街道办</w:t>
      </w:r>
      <w:r>
        <w:rPr>
          <w:rFonts w:hint="eastAsia"/>
          <w:szCs w:val="32"/>
        </w:rPr>
        <w:t>事处</w:t>
      </w:r>
      <w:r>
        <w:rPr>
          <w:rFonts w:hint="eastAsia"/>
          <w:szCs w:val="32"/>
        </w:rPr>
        <w:t>）</w:t>
      </w:r>
      <w:r>
        <w:rPr>
          <w:rFonts w:ascii="仿宋_GB2312" w:hint="eastAsia"/>
          <w:szCs w:val="32"/>
        </w:rPr>
        <w:t>、村社和村民意见，并征求市规划和自然资源行政主管部门和市文化广电旅游行政管理部门意见。</w:t>
      </w:r>
    </w:p>
    <w:p w:rsidR="00877D4C" w:rsidRDefault="00D83BBD">
      <w:pPr>
        <w:spacing w:line="560" w:lineRule="exact"/>
        <w:ind w:firstLineChars="200" w:firstLine="640"/>
        <w:rPr>
          <w:rFonts w:ascii="仿宋_GB2312"/>
          <w:szCs w:val="32"/>
        </w:rPr>
      </w:pPr>
      <w:r>
        <w:rPr>
          <w:rFonts w:ascii="仿宋_GB2312"/>
          <w:szCs w:val="32"/>
        </w:rPr>
        <w:t>2.</w:t>
      </w:r>
      <w:r>
        <w:rPr>
          <w:rFonts w:ascii="仿宋_GB2312" w:hint="eastAsia"/>
          <w:szCs w:val="32"/>
        </w:rPr>
        <w:t>属地区人民政府组织专家审查、批前公示，并同步在市规划和自然资源行政主管部门官方网站上进行批前公示。中国传统村落、</w:t>
      </w:r>
      <w:r>
        <w:rPr>
          <w:rFonts w:ascii="仿宋_GB2312" w:hint="eastAsia"/>
          <w:szCs w:val="32"/>
        </w:rPr>
        <w:t>广东省传统村落在公示前需由市规划和自然资源行政主管部门征求省级历史文化名城保护行政主管部门意见。</w:t>
      </w:r>
    </w:p>
    <w:p w:rsidR="00877D4C" w:rsidRDefault="00D83BBD">
      <w:pPr>
        <w:spacing w:line="560" w:lineRule="exact"/>
        <w:ind w:firstLineChars="200" w:firstLine="640"/>
        <w:rPr>
          <w:rFonts w:ascii="仿宋_GB2312"/>
          <w:szCs w:val="32"/>
        </w:rPr>
      </w:pPr>
      <w:r>
        <w:rPr>
          <w:rFonts w:ascii="仿宋_GB2312"/>
          <w:szCs w:val="32"/>
        </w:rPr>
        <w:t>3.</w:t>
      </w:r>
      <w:r>
        <w:rPr>
          <w:rFonts w:ascii="仿宋_GB2312" w:hint="eastAsia"/>
          <w:szCs w:val="32"/>
        </w:rPr>
        <w:t>属地区人民政府提请区历史文化名城保护委员会审议，暂未成立区名城委的</w:t>
      </w:r>
      <w:r>
        <w:rPr>
          <w:rFonts w:ascii="仿宋_GB2312" w:hint="eastAsia"/>
          <w:szCs w:val="32"/>
        </w:rPr>
        <w:t>由</w:t>
      </w:r>
      <w:r>
        <w:rPr>
          <w:rFonts w:ascii="仿宋_GB2312" w:hint="eastAsia"/>
          <w:szCs w:val="32"/>
        </w:rPr>
        <w:t>所属区人民政府统筹组织审议。中国传统村落由属地区人民政府在经区历史文化名城保护委员会审议或区人民政府统筹组织审议后，提请市文物管理和历史文化名城保护委员会审议。</w:t>
      </w:r>
    </w:p>
    <w:p w:rsidR="00877D4C" w:rsidRDefault="00D83BBD">
      <w:pPr>
        <w:spacing w:line="560" w:lineRule="exact"/>
        <w:ind w:firstLine="640"/>
        <w:rPr>
          <w:rFonts w:ascii="仿宋_GB2312"/>
          <w:szCs w:val="32"/>
        </w:rPr>
      </w:pPr>
      <w:r>
        <w:rPr>
          <w:rFonts w:ascii="仿宋_GB2312"/>
          <w:szCs w:val="32"/>
        </w:rPr>
        <w:t>4.</w:t>
      </w:r>
      <w:r>
        <w:rPr>
          <w:rFonts w:ascii="仿宋_GB2312" w:hint="eastAsia"/>
          <w:szCs w:val="32"/>
        </w:rPr>
        <w:t>属地区人民政府审批、公告后报市历史文化名城保护办公室备存。</w:t>
      </w:r>
    </w:p>
    <w:p w:rsidR="00877D4C" w:rsidRDefault="00D83BBD">
      <w:pPr>
        <w:spacing w:line="560" w:lineRule="exact"/>
        <w:ind w:firstLineChars="200" w:firstLine="640"/>
        <w:rPr>
          <w:rFonts w:ascii="仿宋_GB2312" w:cs="仿宋_GB2312"/>
          <w:szCs w:val="32"/>
        </w:rPr>
      </w:pPr>
      <w:r>
        <w:rPr>
          <w:rFonts w:ascii="仿宋_GB2312" w:hAnsi="仿宋_GB2312" w:cs="仿宋_GB2312" w:hint="eastAsia"/>
          <w:szCs w:val="32"/>
        </w:rPr>
        <w:t>城市更新项目</w:t>
      </w:r>
      <w:r>
        <w:rPr>
          <w:rFonts w:ascii="仿宋_GB2312" w:hint="eastAsia"/>
          <w:szCs w:val="32"/>
        </w:rPr>
        <w:t>涉及历史城区、</w:t>
      </w:r>
      <w:r>
        <w:rPr>
          <w:rFonts w:ascii="仿宋_GB2312" w:hAnsi="仿宋_GB2312" w:cs="仿宋_GB2312" w:hint="eastAsia"/>
          <w:szCs w:val="32"/>
        </w:rPr>
        <w:t>历史文化街区、历史文化名镇、历史文化名村、历史风貌区、传统村落、文物古迹、古树名木、历史建</w:t>
      </w:r>
      <w:r>
        <w:rPr>
          <w:rFonts w:ascii="仿宋_GB2312" w:hAnsi="仿宋_GB2312" w:cs="仿宋_GB2312" w:hint="eastAsia"/>
          <w:szCs w:val="32"/>
        </w:rPr>
        <w:t>筑（含线索）历史文化遗产的，其城市更</w:t>
      </w:r>
      <w:r>
        <w:rPr>
          <w:rFonts w:ascii="仿宋_GB2312" w:hAnsi="仿宋_GB2312" w:cs="仿宋_GB2312" w:hint="eastAsia"/>
          <w:szCs w:val="32"/>
        </w:rPr>
        <w:lastRenderedPageBreak/>
        <w:t>新策划方案、详细规划、实施方案应当征求</w:t>
      </w:r>
      <w:r>
        <w:rPr>
          <w:rFonts w:hint="eastAsia"/>
          <w:kern w:val="0"/>
          <w:szCs w:val="32"/>
          <w:shd w:val="clear" w:color="auto" w:fill="FFFFFF"/>
        </w:rPr>
        <w:t>市规划和自然资源行政主管部门、</w:t>
      </w:r>
      <w:r>
        <w:rPr>
          <w:rFonts w:ascii="仿宋_GB2312" w:hAnsi="仿宋_GB2312" w:cs="仿宋_GB2312" w:hint="eastAsia"/>
          <w:szCs w:val="32"/>
        </w:rPr>
        <w:t>市文化广电旅游行政管理部门和市林业园林行政管理部门意见。</w:t>
      </w:r>
    </w:p>
    <w:p w:rsidR="00877D4C" w:rsidRDefault="00D83BBD">
      <w:pPr>
        <w:spacing w:line="560" w:lineRule="exact"/>
        <w:ind w:firstLineChars="200" w:firstLine="640"/>
        <w:rPr>
          <w:rFonts w:eastAsia="黑体"/>
          <w:szCs w:val="32"/>
        </w:rPr>
      </w:pPr>
      <w:r>
        <w:rPr>
          <w:rFonts w:eastAsia="黑体" w:hint="eastAsia"/>
          <w:szCs w:val="32"/>
        </w:rPr>
        <w:t>四、监督实施</w:t>
      </w:r>
    </w:p>
    <w:p w:rsidR="00877D4C" w:rsidRDefault="00D83BBD">
      <w:pPr>
        <w:spacing w:line="560" w:lineRule="exact"/>
        <w:ind w:firstLineChars="200" w:firstLine="640"/>
        <w:rPr>
          <w:rFonts w:eastAsia="楷体_GB2312"/>
          <w:bCs/>
          <w:szCs w:val="32"/>
        </w:rPr>
      </w:pPr>
      <w:r>
        <w:rPr>
          <w:rFonts w:eastAsia="楷体_GB2312" w:hint="eastAsia"/>
          <w:bCs/>
          <w:szCs w:val="32"/>
        </w:rPr>
        <w:t>（一）加强组织领导</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各区人民政府、各部门按本工作指引落实，统一思想，周密部署，加强督促检查，深入推进城市更新促进历史文化名城保护利用工作。</w:t>
      </w:r>
      <w:r>
        <w:rPr>
          <w:szCs w:val="32"/>
        </w:rPr>
        <w:t xml:space="preserve"> </w:t>
      </w:r>
    </w:p>
    <w:p w:rsidR="00877D4C" w:rsidRDefault="00D83BBD">
      <w:pPr>
        <w:spacing w:line="560" w:lineRule="exact"/>
        <w:ind w:firstLineChars="200" w:firstLine="640"/>
        <w:rPr>
          <w:szCs w:val="32"/>
        </w:rPr>
      </w:pPr>
      <w:r>
        <w:rPr>
          <w:rFonts w:hint="eastAsia"/>
          <w:kern w:val="0"/>
          <w:szCs w:val="32"/>
          <w:shd w:val="clear" w:color="auto" w:fill="FFFFFF"/>
        </w:rPr>
        <w:t>市规划和自然资源行政主管部门负责组织编制全市历史文化名城、历史文化街区、历史文化名镇</w:t>
      </w:r>
      <w:r>
        <w:rPr>
          <w:rFonts w:hint="eastAsia"/>
          <w:szCs w:val="32"/>
        </w:rPr>
        <w:t>、历史文化</w:t>
      </w:r>
      <w:r>
        <w:rPr>
          <w:rFonts w:hint="eastAsia"/>
          <w:kern w:val="0"/>
          <w:szCs w:val="32"/>
          <w:shd w:val="clear" w:color="auto" w:fill="FFFFFF"/>
        </w:rPr>
        <w:t>名村、历史建筑和历史风貌区的保护规划，以及保护利用涉及的规划许可等工作。</w:t>
      </w:r>
    </w:p>
    <w:p w:rsidR="00877D4C" w:rsidRDefault="00D83BBD">
      <w:pPr>
        <w:spacing w:line="560" w:lineRule="exact"/>
        <w:ind w:firstLineChars="200" w:firstLine="640"/>
        <w:rPr>
          <w:szCs w:val="32"/>
        </w:rPr>
      </w:pPr>
      <w:r>
        <w:rPr>
          <w:rFonts w:hint="eastAsia"/>
          <w:szCs w:val="32"/>
        </w:rPr>
        <w:t>市住房和城乡建设行政管理部门负责在城市更新中统筹全市历史文化街区、历史文化名镇、历史文化名村、历史风貌区和传统村落核心范围内的建筑物、构筑物和历史建筑的结构安全、使用和修缮维护的监督管理，制定年度修缮计划，消防设计审查验收等工作。</w:t>
      </w:r>
    </w:p>
    <w:p w:rsidR="00877D4C" w:rsidRDefault="00D83BBD">
      <w:pPr>
        <w:spacing w:line="560" w:lineRule="exact"/>
        <w:ind w:firstLineChars="200" w:firstLine="640"/>
        <w:rPr>
          <w:szCs w:val="32"/>
        </w:rPr>
      </w:pPr>
      <w:r>
        <w:rPr>
          <w:rFonts w:hint="eastAsia"/>
          <w:szCs w:val="32"/>
        </w:rPr>
        <w:t>市文化广电旅游行政管理部门负责全市文物和非物质文化遗产的管理工作。</w:t>
      </w:r>
    </w:p>
    <w:p w:rsidR="00877D4C" w:rsidRDefault="00D83BBD">
      <w:pPr>
        <w:spacing w:line="560" w:lineRule="exact"/>
        <w:ind w:firstLine="640"/>
        <w:rPr>
          <w:szCs w:val="32"/>
        </w:rPr>
      </w:pPr>
      <w:r>
        <w:rPr>
          <w:rFonts w:hint="eastAsia"/>
          <w:szCs w:val="32"/>
        </w:rPr>
        <w:t>市公安、消防、市场监管、生态环境、卫生健康、城市管理综合执法、应急管理、财政、水务、林业园林等行政管理部门按照各自职责，在城市更新中做好历史文化遗产保护利用的指导、管理和监督职责，制定专业标准和配套政策。</w:t>
      </w:r>
    </w:p>
    <w:p w:rsidR="00877D4C" w:rsidRDefault="00D83BBD">
      <w:pPr>
        <w:spacing w:line="560" w:lineRule="exact"/>
        <w:ind w:firstLine="640"/>
        <w:rPr>
          <w:szCs w:val="32"/>
        </w:rPr>
      </w:pPr>
      <w:r>
        <w:rPr>
          <w:rFonts w:hint="eastAsia"/>
          <w:szCs w:val="32"/>
        </w:rPr>
        <w:t>区人民</w:t>
      </w:r>
      <w:r>
        <w:rPr>
          <w:rFonts w:hint="eastAsia"/>
          <w:szCs w:val="32"/>
        </w:rPr>
        <w:t>政府是推进本行政区域内历史文化遗产保护工</w:t>
      </w:r>
      <w:r>
        <w:rPr>
          <w:rFonts w:hint="eastAsia"/>
          <w:szCs w:val="32"/>
        </w:rPr>
        <w:lastRenderedPageBreak/>
        <w:t>作的实施主体，应当在深入推进城市更新工作中，严格落实历史文化遗产保护责任，结合相关实施项目开展历史文化遗产评估调查并制定年度实施计划，多措并举促进历史文化遗产的保护利用，提出并落实人居环境的改善措施。区人民政府应当指定相应部门作为专门的推进机构，具体负责组织、落实、督促和管理城市更新工作中历史文化遗产保护利用工作。</w:t>
      </w:r>
    </w:p>
    <w:p w:rsidR="00877D4C" w:rsidRDefault="00D83BBD">
      <w:pPr>
        <w:widowControl/>
        <w:shd w:val="clear" w:color="auto" w:fill="FFFFFF"/>
        <w:spacing w:line="560" w:lineRule="exact"/>
        <w:ind w:firstLineChars="200" w:firstLine="640"/>
        <w:rPr>
          <w:kern w:val="0"/>
          <w:szCs w:val="32"/>
          <w:shd w:val="clear" w:color="auto" w:fill="FFFFFF"/>
        </w:rPr>
      </w:pPr>
      <w:r>
        <w:rPr>
          <w:rFonts w:hint="eastAsia"/>
          <w:kern w:val="0"/>
          <w:szCs w:val="32"/>
          <w:shd w:val="clear" w:color="auto" w:fill="FFFFFF"/>
        </w:rPr>
        <w:t>历史文化遗产保护对象所在</w:t>
      </w:r>
      <w:r>
        <w:rPr>
          <w:rFonts w:hint="eastAsia"/>
          <w:szCs w:val="32"/>
        </w:rPr>
        <w:t>镇人民政府（街道办</w:t>
      </w:r>
      <w:r>
        <w:rPr>
          <w:rFonts w:hint="eastAsia"/>
          <w:szCs w:val="32"/>
        </w:rPr>
        <w:t>事处</w:t>
      </w:r>
      <w:r>
        <w:rPr>
          <w:rFonts w:hint="eastAsia"/>
          <w:szCs w:val="32"/>
        </w:rPr>
        <w:t>）</w:t>
      </w:r>
      <w:r>
        <w:rPr>
          <w:rFonts w:hint="eastAsia"/>
          <w:kern w:val="0"/>
          <w:szCs w:val="32"/>
          <w:shd w:val="clear" w:color="auto" w:fill="FFFFFF"/>
        </w:rPr>
        <w:t>应当明确专门机构并配备专人，负责日常巡查和历史文化保护利用展示、宣传、科普等工作，每年对历史文化遗产保护利用工作进行评估，并向区人民政府报告。</w:t>
      </w:r>
    </w:p>
    <w:p w:rsidR="00877D4C" w:rsidRDefault="00D83BBD">
      <w:pPr>
        <w:spacing w:line="560" w:lineRule="exact"/>
        <w:ind w:firstLineChars="200" w:firstLine="640"/>
        <w:rPr>
          <w:rFonts w:eastAsia="楷体_GB2312"/>
          <w:bCs/>
          <w:szCs w:val="32"/>
        </w:rPr>
      </w:pPr>
      <w:r>
        <w:rPr>
          <w:rFonts w:eastAsia="楷体_GB2312" w:hint="eastAsia"/>
          <w:bCs/>
          <w:szCs w:val="32"/>
        </w:rPr>
        <w:t>（二）强化监督责任</w:t>
      </w:r>
      <w:r>
        <w:rPr>
          <w:rFonts w:eastAsia="楷体_GB2312" w:hint="eastAsia"/>
          <w:bCs/>
          <w:szCs w:val="32"/>
        </w:rPr>
        <w:t>。</w:t>
      </w:r>
    </w:p>
    <w:p w:rsidR="00877D4C" w:rsidRDefault="00D83BBD">
      <w:pPr>
        <w:spacing w:line="560" w:lineRule="exact"/>
        <w:ind w:firstLineChars="200" w:firstLine="640"/>
        <w:rPr>
          <w:szCs w:val="32"/>
        </w:rPr>
      </w:pPr>
      <w:r>
        <w:rPr>
          <w:rFonts w:hint="eastAsia"/>
          <w:szCs w:val="32"/>
        </w:rPr>
        <w:t>各区人民政府要切实履行主体责任，加强日常巡查监督和实施检查的工作，在城市更新中优先保护文物、历史建筑等历史文化遗产。保持高压态势，</w:t>
      </w:r>
      <w:r>
        <w:rPr>
          <w:rFonts w:ascii="仿宋_GB2312" w:hAnsi="仿宋_GB2312" w:cs="仿宋_GB2312" w:hint="eastAsia"/>
          <w:szCs w:val="32"/>
        </w:rPr>
        <w:t>以“零容忍”的</w:t>
      </w:r>
      <w:r>
        <w:rPr>
          <w:rFonts w:hint="eastAsia"/>
          <w:szCs w:val="32"/>
        </w:rPr>
        <w:t>态度重拳打击拆除、破坏、涂损历史文化遗产行为。</w:t>
      </w:r>
    </w:p>
    <w:p w:rsidR="00877D4C" w:rsidRDefault="00877D4C">
      <w:pPr>
        <w:spacing w:line="560" w:lineRule="exact"/>
        <w:ind w:firstLineChars="200" w:firstLine="640"/>
        <w:rPr>
          <w:szCs w:val="32"/>
        </w:rPr>
      </w:pPr>
    </w:p>
    <w:p w:rsidR="00877D4C" w:rsidRDefault="00D83BBD">
      <w:pPr>
        <w:spacing w:line="560" w:lineRule="exact"/>
        <w:ind w:firstLineChars="200" w:firstLine="640"/>
        <w:rPr>
          <w:szCs w:val="32"/>
        </w:rPr>
      </w:pPr>
      <w:r>
        <w:rPr>
          <w:rFonts w:hint="eastAsia"/>
          <w:szCs w:val="32"/>
        </w:rPr>
        <w:t>附件：历史文化遗产保护对象核查表</w:t>
      </w:r>
    </w:p>
    <w:p w:rsidR="00877D4C" w:rsidRDefault="00877D4C"/>
    <w:p w:rsidR="00877D4C" w:rsidRDefault="00D83BBD">
      <w:pPr>
        <w:widowControl/>
        <w:spacing w:line="560" w:lineRule="exact"/>
        <w:jc w:val="left"/>
        <w:rPr>
          <w:bCs/>
          <w:szCs w:val="32"/>
        </w:rPr>
      </w:pPr>
      <w:r>
        <w:br w:type="page"/>
      </w:r>
      <w:r>
        <w:rPr>
          <w:bCs/>
          <w:szCs w:val="32"/>
        </w:rPr>
        <w:lastRenderedPageBreak/>
        <w:t>附件</w:t>
      </w:r>
    </w:p>
    <w:p w:rsidR="00877D4C" w:rsidRDefault="00D83BBD">
      <w:pPr>
        <w:jc w:val="center"/>
        <w:rPr>
          <w:rFonts w:ascii="仿宋_GB2312" w:hAnsi="仿宋_GB2312" w:cs="仿宋_GB2312"/>
          <w:szCs w:val="32"/>
        </w:rPr>
      </w:pPr>
      <w:r>
        <w:rPr>
          <w:rFonts w:ascii="仿宋_GB2312" w:hAnsi="仿宋_GB2312" w:cs="仿宋_GB2312" w:hint="eastAsia"/>
          <w:szCs w:val="32"/>
        </w:rPr>
        <w:t>历史文化遗产保护对象核查表</w:t>
      </w:r>
    </w:p>
    <w:tbl>
      <w:tblPr>
        <w:tblW w:w="978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1934"/>
        <w:gridCol w:w="1935"/>
        <w:gridCol w:w="1295"/>
        <w:gridCol w:w="3203"/>
      </w:tblGrid>
      <w:tr w:rsidR="00877D4C">
        <w:trPr>
          <w:trHeight w:hRule="exact" w:val="515"/>
        </w:trPr>
        <w:tc>
          <w:tcPr>
            <w:tcW w:w="9781" w:type="dxa"/>
            <w:gridSpan w:val="5"/>
            <w:shd w:val="clear" w:color="auto" w:fill="F2F2F2"/>
            <w:vAlign w:val="center"/>
          </w:tcPr>
          <w:p w:rsidR="00877D4C" w:rsidRDefault="00D83BBD">
            <w:pPr>
              <w:pStyle w:val="a5"/>
              <w:adjustRightInd w:val="0"/>
              <w:snapToGrid w:val="0"/>
              <w:spacing w:before="0" w:beforeAutospacing="0" w:after="0" w:afterAutospacing="0"/>
              <w:jc w:val="center"/>
              <w:rPr>
                <w:rFonts w:ascii="黑体" w:eastAsia="黑体" w:hAnsi="黑体" w:cs="Times New Roman"/>
                <w:kern w:val="2"/>
                <w:sz w:val="32"/>
                <w:szCs w:val="32"/>
              </w:rPr>
            </w:pPr>
            <w:r>
              <w:rPr>
                <w:rFonts w:ascii="黑体" w:eastAsia="黑体" w:hAnsi="黑体" w:cs="Times New Roman" w:hint="eastAsia"/>
                <w:kern w:val="2"/>
                <w:sz w:val="32"/>
                <w:szCs w:val="32"/>
              </w:rPr>
              <w:t>基本情况</w:t>
            </w:r>
          </w:p>
        </w:tc>
      </w:tr>
      <w:tr w:rsidR="00877D4C">
        <w:trPr>
          <w:trHeight w:hRule="exact" w:val="657"/>
        </w:trPr>
        <w:tc>
          <w:tcPr>
            <w:tcW w:w="1414" w:type="dxa"/>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项目名称</w:t>
            </w:r>
          </w:p>
        </w:tc>
        <w:tc>
          <w:tcPr>
            <w:tcW w:w="1934" w:type="dxa"/>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highlight w:val="yellow"/>
              </w:rPr>
            </w:pPr>
          </w:p>
        </w:tc>
        <w:tc>
          <w:tcPr>
            <w:tcW w:w="3230" w:type="dxa"/>
            <w:gridSpan w:val="2"/>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编制单位</w:t>
            </w:r>
          </w:p>
        </w:tc>
        <w:tc>
          <w:tcPr>
            <w:tcW w:w="3203" w:type="dxa"/>
            <w:vMerge w:val="restart"/>
            <w:vAlign w:val="center"/>
          </w:tcPr>
          <w:p w:rsidR="00877D4C" w:rsidRDefault="00877D4C">
            <w:pPr>
              <w:pStyle w:val="a5"/>
              <w:adjustRightInd w:val="0"/>
              <w:snapToGrid w:val="0"/>
              <w:rPr>
                <w:rFonts w:ascii="仿宋_GB2312" w:eastAsia="仿宋_GB2312" w:cs="Times New Roman"/>
                <w:sz w:val="28"/>
                <w:szCs w:val="28"/>
              </w:rPr>
            </w:pPr>
          </w:p>
          <w:p w:rsidR="00877D4C" w:rsidRDefault="00877D4C">
            <w:pPr>
              <w:pStyle w:val="a5"/>
              <w:adjustRightInd w:val="0"/>
              <w:snapToGrid w:val="0"/>
              <w:rPr>
                <w:rFonts w:ascii="仿宋_GB2312" w:eastAsia="仿宋_GB2312" w:cs="Times New Roman"/>
                <w:sz w:val="28"/>
                <w:szCs w:val="28"/>
              </w:rPr>
            </w:pPr>
          </w:p>
          <w:p w:rsidR="00877D4C" w:rsidRDefault="00D83BBD">
            <w:pPr>
              <w:tabs>
                <w:tab w:val="left" w:pos="2176"/>
              </w:tabs>
              <w:ind w:firstLineChars="100" w:firstLine="280"/>
              <w:jc w:val="left"/>
              <w:rPr>
                <w:rFonts w:ascii="仿宋_GB2312"/>
                <w:color w:val="000000"/>
                <w:sz w:val="28"/>
                <w:szCs w:val="28"/>
              </w:rPr>
            </w:pPr>
            <w:r>
              <w:rPr>
                <w:rFonts w:ascii="仿宋_GB2312" w:hint="eastAsia"/>
                <w:color w:val="000000"/>
                <w:sz w:val="28"/>
                <w:szCs w:val="28"/>
              </w:rPr>
              <w:t>（盖章）</w:t>
            </w:r>
            <w:r>
              <w:rPr>
                <w:rFonts w:ascii="仿宋_GB2312" w:hint="eastAsia"/>
                <w:color w:val="000000"/>
                <w:sz w:val="28"/>
                <w:szCs w:val="28"/>
              </w:rPr>
              <w:t xml:space="preserve">  </w:t>
            </w:r>
            <w:r>
              <w:rPr>
                <w:rFonts w:ascii="仿宋_GB2312" w:hint="eastAsia"/>
                <w:color w:val="000000"/>
                <w:sz w:val="28"/>
                <w:szCs w:val="28"/>
              </w:rPr>
              <w:t>年</w:t>
            </w:r>
            <w:r>
              <w:rPr>
                <w:rFonts w:ascii="仿宋_GB2312" w:hint="eastAsia"/>
                <w:color w:val="000000"/>
                <w:sz w:val="28"/>
                <w:szCs w:val="28"/>
              </w:rPr>
              <w:t xml:space="preserve">  </w:t>
            </w:r>
            <w:r>
              <w:rPr>
                <w:rFonts w:ascii="仿宋_GB2312" w:hint="eastAsia"/>
                <w:color w:val="000000"/>
                <w:sz w:val="28"/>
                <w:szCs w:val="28"/>
              </w:rPr>
              <w:t>月</w:t>
            </w:r>
            <w:r>
              <w:rPr>
                <w:rFonts w:ascii="仿宋_GB2312" w:hint="eastAsia"/>
                <w:color w:val="000000"/>
                <w:sz w:val="28"/>
                <w:szCs w:val="28"/>
              </w:rPr>
              <w:t xml:space="preserve">  </w:t>
            </w:r>
            <w:r>
              <w:rPr>
                <w:rFonts w:ascii="仿宋_GB2312" w:hint="eastAsia"/>
                <w:color w:val="000000"/>
                <w:sz w:val="28"/>
                <w:szCs w:val="28"/>
              </w:rPr>
              <w:t>日</w:t>
            </w:r>
          </w:p>
          <w:p w:rsidR="00877D4C" w:rsidRDefault="00D83BBD">
            <w:pPr>
              <w:tabs>
                <w:tab w:val="left" w:pos="2176"/>
              </w:tabs>
              <w:ind w:firstLineChars="100" w:firstLine="280"/>
              <w:jc w:val="left"/>
              <w:rPr>
                <w:rFonts w:ascii="仿宋_GB2312"/>
                <w:color w:val="000000"/>
                <w:sz w:val="28"/>
                <w:szCs w:val="28"/>
              </w:rPr>
            </w:pPr>
            <w:r>
              <w:rPr>
                <w:rFonts w:ascii="仿宋_GB2312" w:hint="eastAsia"/>
                <w:color w:val="000000"/>
                <w:sz w:val="28"/>
                <w:szCs w:val="28"/>
              </w:rPr>
              <w:t>项目审核：</w:t>
            </w:r>
          </w:p>
        </w:tc>
      </w:tr>
      <w:tr w:rsidR="00877D4C">
        <w:trPr>
          <w:trHeight w:hRule="exact" w:val="734"/>
        </w:trPr>
        <w:tc>
          <w:tcPr>
            <w:tcW w:w="1414" w:type="dxa"/>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规划范围</w:t>
            </w:r>
          </w:p>
        </w:tc>
        <w:tc>
          <w:tcPr>
            <w:tcW w:w="1934" w:type="dxa"/>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rPr>
            </w:pPr>
          </w:p>
        </w:tc>
        <w:tc>
          <w:tcPr>
            <w:tcW w:w="3230" w:type="dxa"/>
            <w:gridSpan w:val="2"/>
            <w:vMerge/>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highlight w:val="yellow"/>
              </w:rPr>
            </w:pPr>
          </w:p>
        </w:tc>
        <w:tc>
          <w:tcPr>
            <w:tcW w:w="3203" w:type="dxa"/>
            <w:vMerge/>
            <w:vAlign w:val="center"/>
          </w:tcPr>
          <w:p w:rsidR="00877D4C" w:rsidRDefault="00877D4C">
            <w:pPr>
              <w:pStyle w:val="a5"/>
              <w:adjustRightInd w:val="0"/>
              <w:snapToGrid w:val="0"/>
              <w:rPr>
                <w:rFonts w:ascii="仿宋_GB2312" w:eastAsia="仿宋_GB2312" w:cs="Times New Roman"/>
                <w:sz w:val="28"/>
                <w:szCs w:val="28"/>
              </w:rPr>
            </w:pPr>
          </w:p>
        </w:tc>
      </w:tr>
      <w:tr w:rsidR="00877D4C">
        <w:trPr>
          <w:trHeight w:hRule="exact" w:val="732"/>
        </w:trPr>
        <w:tc>
          <w:tcPr>
            <w:tcW w:w="1414" w:type="dxa"/>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项目阶段</w:t>
            </w:r>
          </w:p>
        </w:tc>
        <w:tc>
          <w:tcPr>
            <w:tcW w:w="1934" w:type="dxa"/>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rPr>
            </w:pPr>
          </w:p>
        </w:tc>
        <w:tc>
          <w:tcPr>
            <w:tcW w:w="3230" w:type="dxa"/>
            <w:gridSpan w:val="2"/>
            <w:vMerge/>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rPr>
            </w:pPr>
          </w:p>
        </w:tc>
        <w:tc>
          <w:tcPr>
            <w:tcW w:w="3203" w:type="dxa"/>
            <w:vMerge/>
            <w:vAlign w:val="center"/>
          </w:tcPr>
          <w:p w:rsidR="00877D4C" w:rsidRDefault="00877D4C">
            <w:pPr>
              <w:pStyle w:val="a5"/>
              <w:adjustRightInd w:val="0"/>
              <w:snapToGrid w:val="0"/>
              <w:rPr>
                <w:rFonts w:ascii="仿宋_GB2312" w:eastAsia="仿宋_GB2312" w:cs="Times New Roman"/>
                <w:sz w:val="28"/>
                <w:szCs w:val="28"/>
              </w:rPr>
            </w:pPr>
          </w:p>
        </w:tc>
      </w:tr>
      <w:tr w:rsidR="00877D4C">
        <w:trPr>
          <w:trHeight w:hRule="exact" w:val="746"/>
        </w:trPr>
        <w:tc>
          <w:tcPr>
            <w:tcW w:w="1414" w:type="dxa"/>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规划组织单位</w:t>
            </w:r>
          </w:p>
        </w:tc>
        <w:tc>
          <w:tcPr>
            <w:tcW w:w="1934" w:type="dxa"/>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rPr>
            </w:pPr>
          </w:p>
        </w:tc>
        <w:tc>
          <w:tcPr>
            <w:tcW w:w="3230" w:type="dxa"/>
            <w:gridSpan w:val="2"/>
            <w:vMerge/>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rPr>
            </w:pPr>
          </w:p>
        </w:tc>
        <w:tc>
          <w:tcPr>
            <w:tcW w:w="3203" w:type="dxa"/>
            <w:vMerge/>
            <w:vAlign w:val="center"/>
          </w:tcPr>
          <w:p w:rsidR="00877D4C" w:rsidRDefault="00877D4C">
            <w:pPr>
              <w:pStyle w:val="a5"/>
              <w:adjustRightInd w:val="0"/>
              <w:snapToGrid w:val="0"/>
              <w:rPr>
                <w:rFonts w:ascii="仿宋_GB2312" w:eastAsia="仿宋_GB2312" w:cs="Times New Roman"/>
                <w:sz w:val="28"/>
                <w:szCs w:val="28"/>
              </w:rPr>
            </w:pPr>
          </w:p>
        </w:tc>
      </w:tr>
      <w:tr w:rsidR="00877D4C">
        <w:trPr>
          <w:trHeight w:hRule="exact" w:val="544"/>
        </w:trPr>
        <w:tc>
          <w:tcPr>
            <w:tcW w:w="9781" w:type="dxa"/>
            <w:gridSpan w:val="5"/>
            <w:shd w:val="clear" w:color="auto" w:fill="F2F2F2"/>
            <w:vAlign w:val="center"/>
          </w:tcPr>
          <w:p w:rsidR="00877D4C" w:rsidRDefault="00D83BBD">
            <w:pPr>
              <w:pStyle w:val="a5"/>
              <w:adjustRightInd w:val="0"/>
              <w:snapToGrid w:val="0"/>
              <w:spacing w:before="0" w:beforeAutospacing="0" w:after="0" w:afterAutospacing="0"/>
              <w:jc w:val="center"/>
              <w:rPr>
                <w:rFonts w:ascii="黑体" w:eastAsia="黑体" w:hAnsi="黑体" w:cs="Times New Roman"/>
                <w:kern w:val="2"/>
                <w:sz w:val="32"/>
                <w:szCs w:val="32"/>
              </w:rPr>
            </w:pPr>
            <w:r>
              <w:rPr>
                <w:rFonts w:ascii="黑体" w:eastAsia="黑体" w:hAnsi="黑体" w:cs="Times New Roman" w:hint="eastAsia"/>
                <w:kern w:val="2"/>
                <w:sz w:val="32"/>
                <w:szCs w:val="32"/>
              </w:rPr>
              <w:t>地块情况</w:t>
            </w:r>
          </w:p>
        </w:tc>
      </w:tr>
      <w:tr w:rsidR="00877D4C">
        <w:trPr>
          <w:trHeight w:hRule="exac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储备地块</w:t>
            </w:r>
          </w:p>
        </w:tc>
        <w:tc>
          <w:tcPr>
            <w:tcW w:w="1934" w:type="dxa"/>
            <w:vAlign w:val="center"/>
          </w:tcPr>
          <w:p w:rsidR="00877D4C" w:rsidRDefault="00D83BBD">
            <w:pPr>
              <w:pStyle w:val="a5"/>
              <w:adjustRightInd w:val="0"/>
              <w:snapToGrid w:val="0"/>
              <w:spacing w:before="0" w:beforeAutospacing="0" w:after="0" w:afterAutospacing="0"/>
              <w:jc w:val="both"/>
              <w:rPr>
                <w:rFonts w:ascii="黑体" w:eastAsia="黑体" w:hAnsi="黑体" w:cs="Times New Roman"/>
                <w:kern w:val="2"/>
                <w:sz w:val="32"/>
                <w:szCs w:val="32"/>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p w:rsidR="00877D4C" w:rsidRDefault="00877D4C">
            <w:pPr>
              <w:pStyle w:val="a5"/>
              <w:adjustRightInd w:val="0"/>
              <w:snapToGrid w:val="0"/>
              <w:rPr>
                <w:rFonts w:ascii="仿宋_GB2312" w:eastAsia="仿宋_GB2312" w:cs="Times New Roman"/>
                <w:kern w:val="2"/>
                <w:sz w:val="28"/>
                <w:szCs w:val="28"/>
              </w:rPr>
            </w:pPr>
          </w:p>
          <w:p w:rsidR="00877D4C" w:rsidRDefault="00877D4C">
            <w:pPr>
              <w:pStyle w:val="a5"/>
              <w:adjustRightInd w:val="0"/>
              <w:snapToGrid w:val="0"/>
              <w:rPr>
                <w:rFonts w:ascii="仿宋_GB2312" w:eastAsia="仿宋_GB2312" w:cs="Times New Roman"/>
                <w:kern w:val="2"/>
                <w:sz w:val="28"/>
                <w:szCs w:val="28"/>
              </w:rPr>
            </w:pP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黑体" w:eastAsia="黑体" w:hAnsi="黑体" w:cs="Times New Roman"/>
                <w:kern w:val="2"/>
                <w:sz w:val="32"/>
                <w:szCs w:val="32"/>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（如涉及储备地块）填写数量、单位、名称</w:t>
            </w:r>
          </w:p>
        </w:tc>
      </w:tr>
      <w:tr w:rsidR="00877D4C">
        <w:trPr>
          <w:trHeight w:hRule="exact" w:val="508"/>
        </w:trPr>
        <w:tc>
          <w:tcPr>
            <w:tcW w:w="1414" w:type="dxa"/>
            <w:vMerge/>
            <w:vAlign w:val="center"/>
          </w:tcPr>
          <w:p w:rsidR="00877D4C" w:rsidRDefault="00877D4C">
            <w:pPr>
              <w:pStyle w:val="a5"/>
              <w:adjustRightInd w:val="0"/>
              <w:snapToGrid w:val="0"/>
              <w:spacing w:before="0" w:beforeAutospacing="0" w:after="0" w:afterAutospacing="0"/>
              <w:jc w:val="center"/>
              <w:rPr>
                <w:rFonts w:ascii="黑体" w:eastAsia="黑体" w:hAnsi="黑体" w:cs="Times New Roman"/>
                <w:kern w:val="2"/>
                <w:sz w:val="32"/>
                <w:szCs w:val="32"/>
              </w:rPr>
            </w:pPr>
          </w:p>
        </w:tc>
        <w:tc>
          <w:tcPr>
            <w:tcW w:w="1934" w:type="dxa"/>
          </w:tcPr>
          <w:p w:rsidR="00877D4C" w:rsidRDefault="00D83BBD">
            <w:pPr>
              <w:pStyle w:val="a5"/>
              <w:adjustRightInd w:val="0"/>
              <w:snapToGrid w:val="0"/>
              <w:spacing w:before="0" w:beforeAutospacing="0" w:after="0" w:afterAutospacing="0"/>
              <w:jc w:val="both"/>
              <w:rPr>
                <w:rFonts w:ascii="黑体" w:eastAsia="黑体" w:hAnsi="黑体" w:cs="Times New Roman"/>
                <w:kern w:val="2"/>
                <w:sz w:val="32"/>
                <w:szCs w:val="32"/>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tcPr>
          <w:p w:rsidR="00877D4C" w:rsidRDefault="00877D4C">
            <w:pPr>
              <w:pStyle w:val="a5"/>
              <w:adjustRightInd w:val="0"/>
              <w:snapToGrid w:val="0"/>
              <w:spacing w:before="0" w:beforeAutospacing="0" w:after="0" w:afterAutospacing="0"/>
              <w:jc w:val="both"/>
              <w:rPr>
                <w:rFonts w:ascii="黑体" w:eastAsia="黑体" w:hAnsi="黑体" w:cs="Times New Roman"/>
                <w:kern w:val="2"/>
                <w:sz w:val="32"/>
                <w:szCs w:val="32"/>
              </w:rPr>
            </w:pPr>
          </w:p>
        </w:tc>
      </w:tr>
      <w:tr w:rsidR="00877D4C">
        <w:trPr>
          <w:trHeight w:hRule="exact" w:val="587"/>
        </w:trPr>
        <w:tc>
          <w:tcPr>
            <w:tcW w:w="1414" w:type="dxa"/>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城市更新年度计划</w:t>
            </w:r>
          </w:p>
        </w:tc>
        <w:tc>
          <w:tcPr>
            <w:tcW w:w="1934" w:type="dxa"/>
            <w:vAlign w:val="center"/>
          </w:tcPr>
          <w:p w:rsidR="00877D4C" w:rsidRDefault="00D83BBD">
            <w:pPr>
              <w:pStyle w:val="a5"/>
              <w:adjustRightInd w:val="0"/>
              <w:snapToGrid w:val="0"/>
              <w:spacing w:before="0" w:beforeAutospacing="0" w:after="0" w:afterAutospacing="0"/>
              <w:jc w:val="both"/>
              <w:rPr>
                <w:rFonts w:ascii="黑体" w:eastAsia="黑体" w:hAnsi="黑体" w:cs="Times New Roman"/>
                <w:kern w:val="2"/>
                <w:sz w:val="32"/>
                <w:szCs w:val="32"/>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p w:rsidR="00877D4C" w:rsidRDefault="00877D4C">
            <w:pPr>
              <w:pStyle w:val="a5"/>
              <w:adjustRightInd w:val="0"/>
              <w:snapToGrid w:val="0"/>
              <w:jc w:val="both"/>
              <w:rPr>
                <w:rFonts w:ascii="仿宋_GB2312" w:eastAsia="仿宋_GB2312" w:cs="Times New Roman"/>
                <w:kern w:val="2"/>
                <w:sz w:val="28"/>
                <w:szCs w:val="28"/>
              </w:rPr>
            </w:pPr>
          </w:p>
          <w:p w:rsidR="00877D4C" w:rsidRDefault="00877D4C">
            <w:pPr>
              <w:pStyle w:val="a5"/>
              <w:adjustRightInd w:val="0"/>
              <w:snapToGrid w:val="0"/>
              <w:jc w:val="both"/>
              <w:rPr>
                <w:rFonts w:ascii="仿宋_GB2312" w:eastAsia="仿宋_GB2312" w:cs="Times New Roman"/>
                <w:kern w:val="2"/>
                <w:sz w:val="28"/>
                <w:szCs w:val="28"/>
              </w:rPr>
            </w:pPr>
          </w:p>
        </w:tc>
        <w:tc>
          <w:tcPr>
            <w:tcW w:w="6433" w:type="dxa"/>
            <w:gridSpan w:val="3"/>
            <w:vMerge w:val="restart"/>
            <w:vAlign w:val="center"/>
          </w:tcPr>
          <w:p w:rsidR="00877D4C" w:rsidRDefault="00D83BBD">
            <w:pPr>
              <w:pStyle w:val="a5"/>
              <w:adjustRightInd w:val="0"/>
              <w:snapToGrid w:val="0"/>
              <w:spacing w:before="0" w:beforeAutospacing="0" w:after="0" w:afterAutospacing="0"/>
              <w:jc w:val="both"/>
              <w:rPr>
                <w:rFonts w:ascii="黑体" w:eastAsia="黑体" w:hAnsi="黑体" w:cs="Times New Roman"/>
                <w:kern w:val="2"/>
                <w:sz w:val="32"/>
                <w:szCs w:val="32"/>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（如涉及更新计划）填写数量、实施单位</w:t>
            </w:r>
          </w:p>
        </w:tc>
      </w:tr>
      <w:tr w:rsidR="00877D4C">
        <w:trPr>
          <w:trHeight w:hRule="exact" w:val="524"/>
        </w:trPr>
        <w:tc>
          <w:tcPr>
            <w:tcW w:w="1414" w:type="dxa"/>
            <w:vMerge/>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rPr>
            </w:pPr>
          </w:p>
        </w:tc>
        <w:tc>
          <w:tcPr>
            <w:tcW w:w="1934" w:type="dxa"/>
          </w:tcPr>
          <w:p w:rsidR="00877D4C" w:rsidRDefault="00D83BBD">
            <w:pPr>
              <w:pStyle w:val="a5"/>
              <w:adjustRightInd w:val="0"/>
              <w:snapToGrid w:val="0"/>
              <w:spacing w:before="0" w:beforeAutospacing="0" w:after="0" w:afterAutospacing="0"/>
              <w:jc w:val="both"/>
              <w:rPr>
                <w:rFonts w:ascii="黑体" w:eastAsia="黑体" w:hAnsi="黑体" w:cs="Times New Roman"/>
                <w:kern w:val="2"/>
                <w:sz w:val="32"/>
                <w:szCs w:val="32"/>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tcPr>
          <w:p w:rsidR="00877D4C" w:rsidRDefault="00877D4C">
            <w:pPr>
              <w:pStyle w:val="a5"/>
              <w:adjustRightInd w:val="0"/>
              <w:snapToGrid w:val="0"/>
              <w:spacing w:before="0" w:beforeAutospacing="0" w:after="0" w:afterAutospacing="0"/>
              <w:jc w:val="both"/>
              <w:rPr>
                <w:rFonts w:ascii="黑体" w:eastAsia="黑体" w:hAnsi="黑体" w:cs="Times New Roman"/>
                <w:kern w:val="2"/>
                <w:sz w:val="32"/>
                <w:szCs w:val="32"/>
              </w:rPr>
            </w:pPr>
          </w:p>
        </w:tc>
      </w:tr>
      <w:tr w:rsidR="00877D4C">
        <w:trPr>
          <w:trHeight w:hRule="exact" w:val="526"/>
        </w:trPr>
        <w:tc>
          <w:tcPr>
            <w:tcW w:w="9781" w:type="dxa"/>
            <w:gridSpan w:val="5"/>
            <w:shd w:val="clear" w:color="auto" w:fill="F1F1F1"/>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黑体" w:eastAsia="黑体" w:hAnsi="黑体" w:cs="Times New Roman" w:hint="eastAsia"/>
                <w:kern w:val="2"/>
                <w:sz w:val="32"/>
                <w:szCs w:val="32"/>
              </w:rPr>
              <w:t>自查情况</w:t>
            </w:r>
          </w:p>
        </w:tc>
      </w:tr>
      <w:tr w:rsidR="00877D4C">
        <w:trPr>
          <w:trHeight w:hRule="exact" w:val="857"/>
        </w:trPr>
        <w:tc>
          <w:tcPr>
            <w:tcW w:w="1414" w:type="dxa"/>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文物</w:t>
            </w:r>
          </w:p>
        </w:tc>
        <w:tc>
          <w:tcPr>
            <w:tcW w:w="1934" w:type="dxa"/>
            <w:vAlign w:val="center"/>
          </w:tcPr>
          <w:p w:rsidR="00877D4C" w:rsidRDefault="00D83BBD">
            <w:pPr>
              <w:pStyle w:val="a5"/>
              <w:adjustRightInd w:val="0"/>
              <w:snapToGrid w:val="0"/>
              <w:jc w:val="both"/>
              <w:rPr>
                <w:rFonts w:ascii="仿宋_GB2312" w:eastAsia="仿宋_GB2312" w:cs="Times New Roman"/>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jc w:val="both"/>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（如涉及文物本体、保护范围、建设控制地带）填写类别、数量、名称、涉及范围</w:t>
            </w:r>
          </w:p>
          <w:p w:rsidR="00877D4C" w:rsidRDefault="00D83BBD">
            <w:pPr>
              <w:pStyle w:val="a5"/>
              <w:adjustRightInd w:val="0"/>
              <w:snapToGrid w:val="0"/>
              <w:jc w:val="both"/>
              <w:rPr>
                <w:rFonts w:ascii="仿宋_GB2312" w:eastAsia="仿宋_GB2312" w:cs="Times New Roman"/>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（如涉及海丝申遗史迹点遗产区以及缓冲区）填写名称、涉及范围</w:t>
            </w:r>
          </w:p>
        </w:tc>
      </w:tr>
      <w:tr w:rsidR="00877D4C">
        <w:trPr>
          <w:trHeight w:hRule="exact" w:val="874"/>
        </w:trPr>
        <w:tc>
          <w:tcPr>
            <w:tcW w:w="1414" w:type="dxa"/>
            <w:vMerge/>
            <w:vAlign w:val="center"/>
          </w:tcPr>
          <w:p w:rsidR="00877D4C" w:rsidRDefault="00877D4C">
            <w:pPr>
              <w:pStyle w:val="a5"/>
              <w:adjustRightInd w:val="0"/>
              <w:snapToGrid w:val="0"/>
              <w:jc w:val="center"/>
              <w:rPr>
                <w:rFonts w:ascii="仿宋_GB2312" w:eastAsia="仿宋_GB2312" w:cs="Times New Roman"/>
                <w:kern w:val="2"/>
                <w:sz w:val="28"/>
                <w:szCs w:val="28"/>
              </w:rPr>
            </w:pPr>
          </w:p>
        </w:tc>
        <w:tc>
          <w:tcPr>
            <w:tcW w:w="1934" w:type="dxa"/>
            <w:vAlign w:val="center"/>
          </w:tcPr>
          <w:p w:rsidR="00877D4C" w:rsidRDefault="00D83BBD">
            <w:pPr>
              <w:pStyle w:val="a5"/>
              <w:adjustRightInd w:val="0"/>
              <w:snapToGrid w:val="0"/>
              <w:jc w:val="both"/>
              <w:rPr>
                <w:rFonts w:ascii="仿宋_GB2312" w:eastAsia="仿宋_GB2312" w:cs="Times New Roman"/>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tcPr>
          <w:p w:rsidR="00877D4C" w:rsidRDefault="00877D4C">
            <w:pPr>
              <w:pStyle w:val="a5"/>
              <w:adjustRightInd w:val="0"/>
              <w:snapToGrid w:val="0"/>
              <w:jc w:val="both"/>
              <w:rPr>
                <w:rFonts w:ascii="仿宋_GB2312" w:eastAsia="仿宋_GB2312" w:cs="Times New Roman"/>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地下文物埋藏区</w:t>
            </w:r>
          </w:p>
        </w:tc>
        <w:tc>
          <w:tcPr>
            <w:tcW w:w="1934" w:type="dxa"/>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jc w:val="both"/>
              <w:rPr>
                <w:rFonts w:ascii="仿宋_GB2312" w:eastAsia="仿宋_GB2312" w:cs="Times New Roman"/>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（如涉及地下文物埋藏区）填写数量、名称</w:t>
            </w:r>
          </w:p>
        </w:tc>
      </w:tr>
      <w:tr w:rsidR="00877D4C">
        <w:trPr>
          <w:trHeight w:val="601"/>
        </w:trPr>
        <w:tc>
          <w:tcPr>
            <w:tcW w:w="1414" w:type="dxa"/>
            <w:vMerge/>
            <w:vAlign w:val="center"/>
          </w:tcPr>
          <w:p w:rsidR="00877D4C" w:rsidRDefault="00877D4C">
            <w:pPr>
              <w:pStyle w:val="a5"/>
              <w:adjustRightInd w:val="0"/>
              <w:snapToGrid w:val="0"/>
              <w:jc w:val="center"/>
              <w:rPr>
                <w:rFonts w:cs="Times New Roman"/>
                <w:kern w:val="2"/>
                <w:sz w:val="28"/>
                <w:szCs w:val="28"/>
              </w:rPr>
            </w:pPr>
          </w:p>
        </w:tc>
        <w:tc>
          <w:tcPr>
            <w:tcW w:w="1934" w:type="dxa"/>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rPr>
                <w:rFonts w:ascii="仿宋_GB2312" w:eastAsia="仿宋_GB2312" w:cs="Times New Roman"/>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名木古树</w:t>
            </w:r>
          </w:p>
        </w:tc>
        <w:tc>
          <w:tcPr>
            <w:tcW w:w="1934" w:type="dxa"/>
            <w:vAlign w:val="center"/>
          </w:tcPr>
          <w:p w:rsidR="00877D4C" w:rsidRDefault="00D83BBD">
            <w:pPr>
              <w:pStyle w:val="a5"/>
              <w:adjustRightInd w:val="0"/>
              <w:snapToGrid w:val="0"/>
              <w:spacing w:before="0" w:beforeAutospacing="0" w:after="0" w:afterAutospacing="0"/>
              <w:jc w:val="both"/>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（如涉及名木古树）填写数量、编号</w:t>
            </w:r>
          </w:p>
        </w:tc>
      </w:tr>
      <w:tr w:rsidR="00877D4C">
        <w:trPr>
          <w:trHeight w:val="534"/>
        </w:trPr>
        <w:tc>
          <w:tcPr>
            <w:tcW w:w="1414" w:type="dxa"/>
            <w:vMerge/>
            <w:vAlign w:val="center"/>
          </w:tcPr>
          <w:p w:rsidR="00877D4C" w:rsidRDefault="00877D4C">
            <w:pPr>
              <w:pStyle w:val="a5"/>
              <w:adjustRightInd w:val="0"/>
              <w:snapToGrid w:val="0"/>
              <w:jc w:val="center"/>
              <w:rPr>
                <w:rFonts w:cs="Times New Roman"/>
                <w:kern w:val="2"/>
                <w:sz w:val="28"/>
                <w:szCs w:val="28"/>
              </w:rPr>
            </w:pPr>
          </w:p>
        </w:tc>
        <w:tc>
          <w:tcPr>
            <w:tcW w:w="1934" w:type="dxa"/>
            <w:vAlign w:val="center"/>
          </w:tcPr>
          <w:p w:rsidR="00877D4C" w:rsidRDefault="00D83BBD">
            <w:pPr>
              <w:pStyle w:val="a5"/>
              <w:adjustRightInd w:val="0"/>
              <w:snapToGrid w:val="0"/>
              <w:spacing w:before="0" w:beforeAutospacing="0" w:after="0" w:afterAutospacing="0"/>
              <w:jc w:val="both"/>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jc w:val="both"/>
              <w:rPr>
                <w:rFonts w:ascii="仿宋_GB2312" w:eastAsia="仿宋_GB2312" w:cs="Times New Roman"/>
                <w:kern w:val="2"/>
                <w:sz w:val="28"/>
                <w:szCs w:val="28"/>
              </w:rPr>
            </w:pPr>
          </w:p>
        </w:tc>
      </w:tr>
      <w:tr w:rsidR="00877D4C">
        <w:trPr>
          <w:trHeight w:val="567"/>
        </w:trPr>
        <w:tc>
          <w:tcPr>
            <w:tcW w:w="1414" w:type="dxa"/>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历史城区</w:t>
            </w:r>
          </w:p>
        </w:tc>
        <w:tc>
          <w:tcPr>
            <w:tcW w:w="3869" w:type="dxa"/>
            <w:gridSpan w:val="2"/>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4498" w:type="dxa"/>
            <w:gridSpan w:val="2"/>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kern w:val="2"/>
                <w:sz w:val="36"/>
                <w:szCs w:val="28"/>
              </w:rPr>
              <w:t>□</w:t>
            </w: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历史文化名镇</w:t>
            </w:r>
          </w:p>
        </w:tc>
        <w:tc>
          <w:tcPr>
            <w:tcW w:w="1934" w:type="dxa"/>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（如涉及历史文化名镇核心保护范围、建设控制地带及环境协调区）填写涉及范围、涉及面积</w:t>
            </w:r>
          </w:p>
        </w:tc>
      </w:tr>
      <w:tr w:rsidR="00877D4C">
        <w:trPr>
          <w:trHeight w:val="705"/>
        </w:trPr>
        <w:tc>
          <w:tcPr>
            <w:tcW w:w="1414" w:type="dxa"/>
            <w:vMerge/>
            <w:vAlign w:val="center"/>
          </w:tcPr>
          <w:p w:rsidR="00877D4C" w:rsidRDefault="00877D4C">
            <w:pPr>
              <w:pStyle w:val="a5"/>
              <w:adjustRightInd w:val="0"/>
              <w:snapToGrid w:val="0"/>
              <w:spacing w:before="0" w:after="0"/>
              <w:jc w:val="center"/>
              <w:rPr>
                <w:rFonts w:ascii="仿宋_GB2312" w:eastAsia="仿宋_GB2312" w:cs="Times New Roman"/>
                <w:kern w:val="2"/>
                <w:sz w:val="28"/>
                <w:szCs w:val="28"/>
              </w:rPr>
            </w:pPr>
          </w:p>
        </w:tc>
        <w:tc>
          <w:tcPr>
            <w:tcW w:w="1934" w:type="dxa"/>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rPr>
                <w:rFonts w:ascii="仿宋_GB2312" w:eastAsia="仿宋_GB2312" w:cs="Times New Roman"/>
                <w:kern w:val="2"/>
                <w:sz w:val="28"/>
                <w:szCs w:val="28"/>
              </w:rPr>
            </w:pPr>
          </w:p>
        </w:tc>
      </w:tr>
      <w:tr w:rsidR="00877D4C">
        <w:trPr>
          <w:cantSplit/>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lastRenderedPageBreak/>
              <w:t>历史文化名村</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（如涉及历史文化名村核心保护范围、建设控制地带及环境协调区）填写涉及范围、涉及面积</w:t>
            </w:r>
          </w:p>
        </w:tc>
      </w:tr>
      <w:tr w:rsidR="00877D4C">
        <w:trPr>
          <w:trHeight w:val="577"/>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传统村落</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（如涉及传统村落待定区或传统村落核心保护范围、建设控制地带及环境协调区）填写涉及范围、涉及面积</w:t>
            </w:r>
          </w:p>
        </w:tc>
      </w:tr>
      <w:tr w:rsidR="00877D4C">
        <w:trPr>
          <w:trHeight w:val="606"/>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历史文化街区</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（如涉及历史文化街区核心保护范围、建设控制地带及环境协调区）填写涉及范围、涉及面积</w:t>
            </w:r>
          </w:p>
        </w:tc>
      </w:tr>
      <w:tr w:rsidR="00877D4C">
        <w:trPr>
          <w:trHeight w:val="612"/>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历史风貌区</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（如涉及历史风貌区核心保护范围、建设控制地带及环境协调区）填写涉及范围、涉及面积</w:t>
            </w:r>
          </w:p>
        </w:tc>
      </w:tr>
      <w:tr w:rsidR="00877D4C">
        <w:trPr>
          <w:trHeight w:val="618"/>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历史建筑</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（如涉及历史建筑本体、保护范围、建设控制地带）填写名称、涉及范围、涉及面积</w:t>
            </w:r>
          </w:p>
        </w:tc>
      </w:tr>
      <w:tr w:rsidR="00877D4C">
        <w:trPr>
          <w:trHeight w:val="602"/>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传统街巷</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（如涉及传统街巷）填写名称</w:t>
            </w:r>
          </w:p>
        </w:tc>
      </w:tr>
      <w:tr w:rsidR="00877D4C">
        <w:trPr>
          <w:trHeight w:val="611"/>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骑楼街</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（如涉及骑楼街保护范围）填写涉及位置、涉及面积</w:t>
            </w:r>
          </w:p>
        </w:tc>
      </w:tr>
      <w:tr w:rsidR="00877D4C">
        <w:trPr>
          <w:trHeight w:val="501"/>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传统风貌建筑</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（如涉及传统风貌建筑本体）填写名称</w:t>
            </w:r>
          </w:p>
        </w:tc>
      </w:tr>
      <w:tr w:rsidR="00877D4C">
        <w:trPr>
          <w:trHeight w:val="576"/>
        </w:trPr>
        <w:tc>
          <w:tcPr>
            <w:tcW w:w="1414" w:type="dxa"/>
            <w:vMerge/>
            <w:vAlign w:val="center"/>
          </w:tcPr>
          <w:p w:rsidR="00877D4C" w:rsidRDefault="00877D4C">
            <w:pPr>
              <w:pStyle w:val="a5"/>
              <w:adjustRightInd w:val="0"/>
              <w:snapToGrid w:val="0"/>
              <w:spacing w:before="0" w:beforeAutospacing="0" w:after="0" w:afterAutospacing="0"/>
              <w:jc w:val="center"/>
              <w:rPr>
                <w:rFonts w:cs="Times New Roman"/>
                <w:color w:val="FF0000"/>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预保护对象</w:t>
            </w: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（如涉及预保护对象）填写名称</w:t>
            </w:r>
          </w:p>
        </w:tc>
      </w:tr>
      <w:tr w:rsidR="00877D4C">
        <w:trPr>
          <w:trHeight w:val="616"/>
        </w:trPr>
        <w:tc>
          <w:tcPr>
            <w:tcW w:w="1414" w:type="dxa"/>
            <w:vMerge/>
            <w:vAlign w:val="center"/>
          </w:tcPr>
          <w:p w:rsidR="00877D4C" w:rsidRDefault="00877D4C">
            <w:pPr>
              <w:pStyle w:val="a5"/>
              <w:adjustRightInd w:val="0"/>
              <w:snapToGrid w:val="0"/>
              <w:spacing w:before="0" w:beforeAutospacing="0" w:after="0" w:afterAutospacing="0"/>
              <w:jc w:val="center"/>
              <w:rPr>
                <w:rFonts w:ascii="仿宋_GB2312" w:eastAsia="仿宋_GB2312" w:cs="Times New Roman"/>
                <w:kern w:val="2"/>
                <w:sz w:val="28"/>
                <w:szCs w:val="28"/>
              </w:rPr>
            </w:pPr>
          </w:p>
        </w:tc>
        <w:tc>
          <w:tcPr>
            <w:tcW w:w="1934" w:type="dxa"/>
            <w:vAlign w:val="center"/>
          </w:tcPr>
          <w:p w:rsidR="00877D4C" w:rsidRDefault="00D83BBD">
            <w:pPr>
              <w:pStyle w:val="a5"/>
              <w:adjustRightInd w:val="0"/>
              <w:snapToGrid w:val="0"/>
              <w:spacing w:before="0" w:beforeAutospacing="0" w:after="0" w:afterAutospacing="0"/>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ign w:val="center"/>
          </w:tcPr>
          <w:p w:rsidR="00877D4C" w:rsidRDefault="00877D4C">
            <w:pPr>
              <w:pStyle w:val="a5"/>
              <w:adjustRightInd w:val="0"/>
              <w:snapToGrid w:val="0"/>
              <w:spacing w:before="0" w:beforeAutospacing="0" w:after="0" w:afterAutospacing="0"/>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cs="Times New Roman"/>
                <w:color w:val="FF0000"/>
                <w:kern w:val="2"/>
                <w:sz w:val="28"/>
                <w:szCs w:val="28"/>
              </w:rPr>
            </w:pPr>
            <w:r>
              <w:rPr>
                <w:rFonts w:ascii="仿宋_GB2312" w:eastAsia="仿宋_GB2312" w:cs="Times New Roman" w:hint="eastAsia"/>
                <w:kern w:val="2"/>
                <w:sz w:val="28"/>
                <w:szCs w:val="28"/>
              </w:rPr>
              <w:t>工业遗产</w:t>
            </w:r>
          </w:p>
        </w:tc>
        <w:tc>
          <w:tcPr>
            <w:tcW w:w="1934" w:type="dxa"/>
          </w:tcPr>
          <w:p w:rsidR="00877D4C" w:rsidRDefault="00D83BBD">
            <w:pPr>
              <w:pStyle w:val="a5"/>
              <w:adjustRightInd w:val="0"/>
              <w:snapToGrid w:val="0"/>
              <w:spacing w:before="0" w:beforeAutospacing="0" w:after="0" w:afterAutospacing="0"/>
              <w:jc w:val="both"/>
              <w:rPr>
                <w:rFonts w:ascii="仿宋_GB2312" w:eastAsia="仿宋_GB2312" w:cs="Times New Roman"/>
                <w:kern w:val="2"/>
                <w:sz w:val="28"/>
                <w:szCs w:val="28"/>
              </w:rPr>
            </w:pPr>
            <w:r>
              <w:rPr>
                <w:rFonts w:ascii="仿宋_GB2312" w:eastAsia="仿宋_GB2312" w:cs="Times New Roman" w:hint="eastAsia"/>
                <w:sz w:val="28"/>
                <w:szCs w:val="28"/>
              </w:rPr>
              <w:t>不涉及</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rPr>
                <w:rFonts w:ascii="仿宋_GB2312" w:eastAsia="仿宋_GB2312" w:cs="Times New Roman"/>
                <w:kern w:val="2"/>
                <w:sz w:val="28"/>
                <w:szCs w:val="28"/>
              </w:rPr>
            </w:pPr>
            <w:r>
              <w:rPr>
                <w:rFonts w:ascii="仿宋_GB2312" w:eastAsia="仿宋_GB2312" w:cs="Times New Roman" w:hint="eastAsia"/>
                <w:kern w:val="2"/>
                <w:sz w:val="28"/>
                <w:szCs w:val="28"/>
              </w:rPr>
              <w:t>*</w:t>
            </w:r>
            <w:r>
              <w:rPr>
                <w:rFonts w:ascii="仿宋_GB2312" w:eastAsia="仿宋_GB2312" w:cs="Times New Roman" w:hint="eastAsia"/>
                <w:kern w:val="2"/>
                <w:sz w:val="28"/>
                <w:szCs w:val="28"/>
              </w:rPr>
              <w:t>（如涉及工业遗产本体线）填写名称、涉及面积</w:t>
            </w:r>
          </w:p>
        </w:tc>
      </w:tr>
      <w:tr w:rsidR="00877D4C">
        <w:trPr>
          <w:trHeight w:val="546"/>
        </w:trPr>
        <w:tc>
          <w:tcPr>
            <w:tcW w:w="1414" w:type="dxa"/>
            <w:vMerge/>
          </w:tcPr>
          <w:p w:rsidR="00877D4C" w:rsidRDefault="00877D4C">
            <w:pPr>
              <w:pStyle w:val="a5"/>
              <w:adjustRightInd w:val="0"/>
              <w:snapToGrid w:val="0"/>
              <w:spacing w:before="0" w:beforeAutospacing="0" w:after="0" w:afterAutospacing="0"/>
              <w:jc w:val="both"/>
              <w:rPr>
                <w:rFonts w:ascii="仿宋_GB2312" w:eastAsia="仿宋_GB2312" w:cs="Times New Roman"/>
                <w:kern w:val="2"/>
                <w:sz w:val="28"/>
                <w:szCs w:val="28"/>
              </w:rPr>
            </w:pPr>
          </w:p>
        </w:tc>
        <w:tc>
          <w:tcPr>
            <w:tcW w:w="1934" w:type="dxa"/>
          </w:tcPr>
          <w:p w:rsidR="00877D4C" w:rsidRDefault="00D83BBD">
            <w:pPr>
              <w:pStyle w:val="a5"/>
              <w:adjustRightInd w:val="0"/>
              <w:snapToGrid w:val="0"/>
              <w:spacing w:before="0" w:beforeAutospacing="0" w:after="0" w:afterAutospacing="0"/>
              <w:jc w:val="both"/>
              <w:rPr>
                <w:rFonts w:ascii="仿宋_GB2312" w:eastAsia="仿宋_GB2312" w:cs="Times New Roman"/>
                <w:kern w:val="2"/>
                <w:sz w:val="28"/>
                <w:szCs w:val="28"/>
              </w:rPr>
            </w:pPr>
            <w:r>
              <w:rPr>
                <w:rFonts w:ascii="仿宋_GB2312" w:eastAsia="仿宋_GB2312" w:cs="Times New Roman" w:hint="eastAsia"/>
                <w:sz w:val="28"/>
                <w:szCs w:val="28"/>
              </w:rPr>
              <w:t>涉及</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tcPr>
          <w:p w:rsidR="00877D4C" w:rsidRDefault="00877D4C">
            <w:pPr>
              <w:pStyle w:val="a5"/>
              <w:adjustRightInd w:val="0"/>
              <w:snapToGrid w:val="0"/>
              <w:spacing w:before="0" w:beforeAutospacing="0" w:after="0" w:afterAutospacing="0"/>
              <w:jc w:val="both"/>
              <w:rPr>
                <w:rFonts w:ascii="仿宋_GB2312" w:eastAsia="仿宋_GB2312" w:cs="Times New Roman"/>
                <w:kern w:val="2"/>
                <w:sz w:val="28"/>
                <w:szCs w:val="28"/>
              </w:rPr>
            </w:pPr>
          </w:p>
        </w:tc>
      </w:tr>
      <w:tr w:rsidR="00877D4C">
        <w:trPr>
          <w:trHeight w:val="567"/>
        </w:trPr>
        <w:tc>
          <w:tcPr>
            <w:tcW w:w="1414" w:type="dxa"/>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其他保护对象</w:t>
            </w:r>
          </w:p>
        </w:tc>
        <w:tc>
          <w:tcPr>
            <w:tcW w:w="1934" w:type="dxa"/>
          </w:tcPr>
          <w:p w:rsidR="00877D4C" w:rsidRDefault="00D83BBD">
            <w:pPr>
              <w:pStyle w:val="a5"/>
              <w:adjustRightInd w:val="0"/>
              <w:snapToGrid w:val="0"/>
              <w:spacing w:before="0" w:beforeAutospacing="0" w:after="0" w:afterAutospacing="0"/>
              <w:jc w:val="both"/>
              <w:rPr>
                <w:rFonts w:ascii="仿宋_GB2312" w:eastAsia="仿宋_GB2312" w:cs="Times New Roman"/>
                <w:kern w:val="2"/>
                <w:sz w:val="28"/>
                <w:szCs w:val="28"/>
              </w:rPr>
            </w:pPr>
            <w:r>
              <w:rPr>
                <w:rFonts w:ascii="仿宋_GB2312" w:eastAsia="仿宋_GB2312" w:cs="Times New Roman" w:hint="eastAsia"/>
                <w:sz w:val="28"/>
                <w:szCs w:val="28"/>
              </w:rPr>
              <w:t>没有</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val="restart"/>
            <w:vAlign w:val="center"/>
          </w:tcPr>
          <w:p w:rsidR="00877D4C" w:rsidRDefault="00D83BBD">
            <w:pPr>
              <w:pStyle w:val="a5"/>
              <w:adjustRightInd w:val="0"/>
              <w:snapToGrid w:val="0"/>
              <w:spacing w:before="0" w:beforeAutospacing="0" w:after="0" w:afterAutospacing="0"/>
              <w:jc w:val="center"/>
              <w:rPr>
                <w:rFonts w:ascii="仿宋_GB2312" w:eastAsia="仿宋_GB2312" w:cs="Times New Roman"/>
                <w:kern w:val="2"/>
                <w:sz w:val="28"/>
                <w:szCs w:val="28"/>
              </w:rPr>
            </w:pPr>
            <w:r>
              <w:rPr>
                <w:rFonts w:ascii="仿宋_GB2312" w:eastAsia="仿宋_GB2312" w:cs="Times New Roman" w:hint="eastAsia"/>
                <w:kern w:val="2"/>
                <w:sz w:val="28"/>
                <w:szCs w:val="28"/>
              </w:rPr>
              <w:t xml:space="preserve">* </w:t>
            </w:r>
            <w:r>
              <w:rPr>
                <w:rFonts w:ascii="仿宋_GB2312" w:eastAsia="仿宋_GB2312" w:cs="Times New Roman" w:hint="eastAsia"/>
                <w:kern w:val="2"/>
                <w:sz w:val="28"/>
                <w:szCs w:val="28"/>
              </w:rPr>
              <w:t>组织现场调查评估，如有其他具有保护价值的建筑物、构筑物、建筑群、村、镇）填写名称和地址</w:t>
            </w:r>
          </w:p>
        </w:tc>
      </w:tr>
      <w:tr w:rsidR="00877D4C">
        <w:trPr>
          <w:trHeight w:val="418"/>
        </w:trPr>
        <w:tc>
          <w:tcPr>
            <w:tcW w:w="1414" w:type="dxa"/>
            <w:vMerge/>
          </w:tcPr>
          <w:p w:rsidR="00877D4C" w:rsidRDefault="00877D4C">
            <w:pPr>
              <w:pStyle w:val="a5"/>
              <w:adjustRightInd w:val="0"/>
              <w:snapToGrid w:val="0"/>
              <w:spacing w:before="0" w:beforeAutospacing="0" w:after="0" w:afterAutospacing="0"/>
              <w:jc w:val="both"/>
              <w:rPr>
                <w:rFonts w:ascii="仿宋_GB2312" w:eastAsia="仿宋_GB2312" w:cs="Times New Roman"/>
                <w:kern w:val="2"/>
                <w:sz w:val="28"/>
                <w:szCs w:val="28"/>
              </w:rPr>
            </w:pPr>
          </w:p>
        </w:tc>
        <w:tc>
          <w:tcPr>
            <w:tcW w:w="1934" w:type="dxa"/>
          </w:tcPr>
          <w:p w:rsidR="00877D4C" w:rsidRDefault="00D83BBD">
            <w:pPr>
              <w:pStyle w:val="a5"/>
              <w:adjustRightInd w:val="0"/>
              <w:snapToGrid w:val="0"/>
              <w:spacing w:before="0" w:beforeAutospacing="0" w:after="0" w:afterAutospacing="0"/>
              <w:jc w:val="both"/>
              <w:rPr>
                <w:rFonts w:ascii="仿宋_GB2312" w:eastAsia="仿宋_GB2312" w:cs="Times New Roman"/>
                <w:kern w:val="2"/>
                <w:sz w:val="28"/>
                <w:szCs w:val="28"/>
              </w:rPr>
            </w:pPr>
            <w:r>
              <w:rPr>
                <w:rFonts w:ascii="仿宋_GB2312" w:eastAsia="仿宋_GB2312" w:cs="Times New Roman" w:hint="eastAsia"/>
                <w:sz w:val="28"/>
                <w:szCs w:val="28"/>
              </w:rPr>
              <w:t>有</w:t>
            </w:r>
            <w:r>
              <w:rPr>
                <w:rFonts w:ascii="仿宋_GB2312" w:eastAsia="仿宋_GB2312" w:cs="Times New Roman" w:hint="eastAsia"/>
                <w:sz w:val="28"/>
                <w:szCs w:val="28"/>
              </w:rPr>
              <w:t xml:space="preserve"> </w:t>
            </w:r>
            <w:r>
              <w:rPr>
                <w:rFonts w:ascii="仿宋_GB2312" w:eastAsia="仿宋_GB2312" w:cs="Times New Roman"/>
                <w:sz w:val="28"/>
                <w:szCs w:val="28"/>
              </w:rPr>
              <w:t xml:space="preserve"> </w:t>
            </w:r>
            <w:r>
              <w:rPr>
                <w:rFonts w:ascii="仿宋_GB2312" w:eastAsia="仿宋_GB2312" w:cs="Times New Roman" w:hint="eastAsia"/>
                <w:sz w:val="28"/>
                <w:szCs w:val="28"/>
              </w:rPr>
              <w:t xml:space="preserve">   </w:t>
            </w:r>
            <w:r>
              <w:rPr>
                <w:rFonts w:ascii="仿宋_GB2312" w:eastAsia="仿宋_GB2312" w:cs="Times New Roman" w:hint="eastAsia"/>
                <w:kern w:val="2"/>
                <w:sz w:val="36"/>
                <w:szCs w:val="28"/>
              </w:rPr>
              <w:t>□</w:t>
            </w:r>
          </w:p>
        </w:tc>
        <w:tc>
          <w:tcPr>
            <w:tcW w:w="6433" w:type="dxa"/>
            <w:gridSpan w:val="3"/>
            <w:vMerge/>
          </w:tcPr>
          <w:p w:rsidR="00877D4C" w:rsidRDefault="00877D4C">
            <w:pPr>
              <w:pStyle w:val="a5"/>
              <w:adjustRightInd w:val="0"/>
              <w:snapToGrid w:val="0"/>
              <w:spacing w:before="0" w:beforeAutospacing="0" w:after="0" w:afterAutospacing="0"/>
              <w:jc w:val="both"/>
              <w:rPr>
                <w:rFonts w:ascii="仿宋_GB2312" w:eastAsia="仿宋_GB2312" w:cs="Times New Roman"/>
                <w:kern w:val="2"/>
                <w:sz w:val="28"/>
                <w:szCs w:val="28"/>
              </w:rPr>
            </w:pPr>
          </w:p>
        </w:tc>
      </w:tr>
    </w:tbl>
    <w:p w:rsidR="00877D4C" w:rsidRDefault="00D83BBD">
      <w:pPr>
        <w:rPr>
          <w:sz w:val="28"/>
          <w:szCs w:val="28"/>
        </w:rPr>
      </w:pPr>
      <w:r>
        <w:rPr>
          <w:rFonts w:hint="eastAsia"/>
          <w:sz w:val="28"/>
          <w:szCs w:val="28"/>
        </w:rPr>
        <w:t>注：表格行距可根据内容调整</w:t>
      </w:r>
    </w:p>
    <w:p w:rsidR="00877D4C" w:rsidRDefault="00877D4C"/>
    <w:sectPr w:rsidR="00877D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3BBD" w:rsidRDefault="00D83BBD">
      <w:r>
        <w:separator/>
      </w:r>
    </w:p>
  </w:endnote>
  <w:endnote w:type="continuationSeparator" w:id="0">
    <w:p w:rsidR="00D83BBD" w:rsidRDefault="00D83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等线">
    <w:altName w:val="微软雅黑"/>
    <w:charset w:val="7A"/>
    <w:family w:val="auto"/>
    <w:pitch w:val="default"/>
    <w:sig w:usb0="00000000" w:usb1="00000000" w:usb2="00000016" w:usb3="00000000" w:csb0="0004000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7D4C" w:rsidRDefault="00D83BBD">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77D4C" w:rsidRDefault="00D83BBD">
                          <w:pPr>
                            <w:pStyle w:val="a3"/>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5F071A">
                            <w:rPr>
                              <w:rFonts w:asciiTheme="minorEastAsia" w:eastAsiaTheme="minorEastAsia" w:hAnsiTheme="minorEastAsia" w:cstheme="minorEastAsia"/>
                              <w:noProof/>
                              <w:sz w:val="28"/>
                              <w:szCs w:val="28"/>
                            </w:rPr>
                            <w:t>2</w:t>
                          </w:r>
                          <w:r>
                            <w:rPr>
                              <w:rFonts w:asciiTheme="minorEastAsia" w:eastAsia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77D4C" w:rsidRDefault="00D83BBD">
                    <w:pPr>
                      <w:pStyle w:val="a3"/>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5F071A">
                      <w:rPr>
                        <w:rFonts w:asciiTheme="minorEastAsia" w:eastAsiaTheme="minorEastAsia" w:hAnsiTheme="minorEastAsia" w:cstheme="minorEastAsia"/>
                        <w:noProof/>
                        <w:sz w:val="28"/>
                        <w:szCs w:val="28"/>
                      </w:rPr>
                      <w:t>2</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3BBD" w:rsidRDefault="00D83BBD">
      <w:r>
        <w:separator/>
      </w:r>
    </w:p>
  </w:footnote>
  <w:footnote w:type="continuationSeparator" w:id="0">
    <w:p w:rsidR="00D83BBD" w:rsidRDefault="00D83B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76991"/>
    <w:rsid w:val="005F071A"/>
    <w:rsid w:val="00877D4C"/>
    <w:rsid w:val="00D83BBD"/>
    <w:rsid w:val="180857B9"/>
    <w:rsid w:val="49D82750"/>
    <w:rsid w:val="5F976991"/>
    <w:rsid w:val="63120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454753A-872C-41D7-BA90-FE4EE1078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仿宋_GB2312"/>
      <w:kern w:val="2"/>
      <w:sz w:val="32"/>
    </w:rPr>
  </w:style>
  <w:style w:type="paragraph" w:styleId="1">
    <w:name w:val="heading 1"/>
    <w:basedOn w:val="a"/>
    <w:next w:val="a"/>
    <w:pPr>
      <w:keepNext/>
      <w:keepLines/>
      <w:spacing w:line="600" w:lineRule="exact"/>
      <w:jc w:val="center"/>
      <w:outlineLvl w:val="0"/>
    </w:pPr>
    <w:rPr>
      <w:rFonts w:ascii="等线" w:eastAsia="方正小标宋简体" w:hAnsi="等线"/>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widowControl/>
      <w:spacing w:before="100" w:beforeAutospacing="1" w:after="100" w:afterAutospacing="1"/>
      <w:jc w:val="left"/>
    </w:pPr>
    <w:rPr>
      <w:rFonts w:ascii="宋体" w:eastAsia="宋体" w:hAnsi="宋体" w:cs="宋体"/>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776</Words>
  <Characters>4426</Characters>
  <Application>Microsoft Office Word</Application>
  <DocSecurity>0</DocSecurity>
  <Lines>36</Lines>
  <Paragraphs>10</Paragraphs>
  <ScaleCrop>false</ScaleCrop>
  <Company>Microsoft</Company>
  <LinksUpToDate>false</LinksUpToDate>
  <CharactersWithSpaces>5192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周志炫</dc:creator>
  <cp:lastModifiedBy>Windows</cp:lastModifiedBy>
  <cp:revision>2</cp:revision>
  <dcterms:created xsi:type="dcterms:W3CDTF">2020-11-25T01:38:00Z</dcterms:created>
  <dcterms:modified xsi:type="dcterms:W3CDTF">2020-11-25T01:38:00Z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