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4246F" w14:textId="77777777" w:rsidR="006F0079" w:rsidRDefault="00000000">
      <w:pPr>
        <w:spacing w:line="0" w:lineRule="atLeast"/>
        <w:jc w:val="center"/>
        <w:rPr>
          <w:rFonts w:ascii="方正小标宋简体" w:eastAsia="方正小标宋简体"/>
          <w:bCs/>
          <w:color w:val="000000"/>
          <w:sz w:val="44"/>
          <w:szCs w:val="44"/>
        </w:rPr>
      </w:pPr>
      <w:r>
        <w:rPr>
          <w:rFonts w:ascii="方正小标宋简体" w:eastAsia="方正小标宋简体" w:hint="eastAsia"/>
          <w:b/>
          <w:color w:val="000000"/>
          <w:sz w:val="44"/>
          <w:szCs w:val="44"/>
        </w:rPr>
        <w:t xml:space="preserve"> </w:t>
      </w:r>
      <w:r>
        <w:rPr>
          <w:rFonts w:ascii="方正小标宋简体" w:eastAsia="方正小标宋简体" w:hint="eastAsia"/>
          <w:bCs/>
          <w:color w:val="000000"/>
          <w:sz w:val="44"/>
          <w:szCs w:val="44"/>
        </w:rPr>
        <w:t>2023年增城区推动经济高质量发展引导基金子基金管理机构申报指南</w:t>
      </w:r>
    </w:p>
    <w:p w14:paraId="23F6AB11" w14:textId="77777777" w:rsidR="006F0079" w:rsidRDefault="006F0079">
      <w:pPr>
        <w:ind w:firstLineChars="200" w:firstLine="640"/>
        <w:rPr>
          <w:rFonts w:ascii="仿宋" w:eastAsia="仿宋" w:hAnsi="仿宋" w:cs="仿宋"/>
          <w:bCs/>
          <w:color w:val="000000"/>
          <w:sz w:val="32"/>
          <w:szCs w:val="32"/>
        </w:rPr>
      </w:pPr>
    </w:p>
    <w:p w14:paraId="490D5EA7"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为引导社会资本推动科技成果产业化，促进科技、金融与产业融合发展，助力增城区经济高质量发展，现根据广州市增城区科技工业和信息化局（以下简称“区科工信局”）印发的《</w:t>
      </w:r>
      <w:r w:rsidR="00D72C34" w:rsidRPr="004D0846">
        <w:rPr>
          <w:rFonts w:ascii="仿宋" w:eastAsia="仿宋" w:hAnsi="仿宋"/>
          <w:sz w:val="32"/>
          <w:szCs w:val="32"/>
        </w:rPr>
        <w:t>关于印发增城区</w:t>
      </w:r>
      <w:r w:rsidR="00D72C34">
        <w:rPr>
          <w:rFonts w:ascii="仿宋" w:eastAsia="仿宋" w:hAnsi="仿宋" w:hint="eastAsia"/>
          <w:sz w:val="32"/>
          <w:szCs w:val="32"/>
        </w:rPr>
        <w:t>推动经济高质量发展</w:t>
      </w:r>
      <w:r w:rsidR="00D72C34" w:rsidRPr="004D0846">
        <w:rPr>
          <w:rFonts w:ascii="仿宋" w:eastAsia="仿宋" w:hAnsi="仿宋"/>
          <w:sz w:val="32"/>
          <w:szCs w:val="32"/>
        </w:rPr>
        <w:t>引导基金管理办法</w:t>
      </w:r>
      <w:r w:rsidR="00D72C34">
        <w:rPr>
          <w:rFonts w:ascii="仿宋" w:eastAsia="仿宋" w:hAnsi="仿宋" w:hint="eastAsia"/>
          <w:sz w:val="32"/>
          <w:szCs w:val="32"/>
        </w:rPr>
        <w:t>（修订版）</w:t>
      </w:r>
      <w:r w:rsidR="00D72C34" w:rsidRPr="004D0846">
        <w:rPr>
          <w:rFonts w:ascii="仿宋" w:eastAsia="仿宋" w:hAnsi="仿宋"/>
          <w:sz w:val="32"/>
          <w:szCs w:val="32"/>
        </w:rPr>
        <w:t>的通知》（增科工</w:t>
      </w:r>
      <w:r w:rsidR="00D72C34">
        <w:rPr>
          <w:rFonts w:ascii="仿宋" w:eastAsia="仿宋" w:hAnsi="仿宋" w:hint="eastAsia"/>
          <w:sz w:val="32"/>
          <w:szCs w:val="32"/>
        </w:rPr>
        <w:t>商</w:t>
      </w:r>
      <w:r w:rsidR="00D72C34" w:rsidRPr="004D0846">
        <w:rPr>
          <w:rFonts w:ascii="仿宋" w:eastAsia="仿宋" w:hAnsi="仿宋"/>
          <w:sz w:val="32"/>
          <w:szCs w:val="32"/>
        </w:rPr>
        <w:t>信字〔</w:t>
      </w:r>
      <w:r w:rsidR="00D72C34">
        <w:rPr>
          <w:rFonts w:ascii="仿宋" w:eastAsia="仿宋" w:hAnsi="仿宋" w:hint="eastAsia"/>
          <w:sz w:val="32"/>
          <w:szCs w:val="32"/>
        </w:rPr>
        <w:t>2</w:t>
      </w:r>
      <w:r w:rsidR="00D72C34">
        <w:rPr>
          <w:rFonts w:ascii="仿宋" w:eastAsia="仿宋" w:hAnsi="仿宋"/>
          <w:sz w:val="32"/>
          <w:szCs w:val="32"/>
        </w:rPr>
        <w:t>021</w:t>
      </w:r>
      <w:r w:rsidR="00D72C34" w:rsidRPr="004D0846">
        <w:rPr>
          <w:rFonts w:ascii="仿宋" w:eastAsia="仿宋" w:hAnsi="仿宋"/>
          <w:sz w:val="32"/>
          <w:szCs w:val="32"/>
        </w:rPr>
        <w:t>〕1号</w:t>
      </w:r>
      <w:r>
        <w:rPr>
          <w:rFonts w:ascii="仿宋" w:eastAsia="仿宋" w:hAnsi="仿宋" w:cs="仿宋" w:hint="eastAsia"/>
          <w:bCs/>
          <w:color w:val="000000"/>
          <w:sz w:val="32"/>
          <w:szCs w:val="32"/>
        </w:rPr>
        <w:t>，以下简称“《管理办法》”）的要求，发布2023年增城区推动经济高质量发展引导基金（以下简称“引导基金”）申报指南（以下简称“申报指南”）。</w:t>
      </w:r>
    </w:p>
    <w:p w14:paraId="20F4FE58" w14:textId="77777777" w:rsidR="006F0079" w:rsidRDefault="00000000">
      <w:pPr>
        <w:ind w:firstLineChars="200" w:firstLine="643"/>
        <w:rPr>
          <w:rFonts w:ascii="仿宋" w:eastAsia="仿宋" w:hAnsi="仿宋" w:cs="仿宋"/>
          <w:bCs/>
          <w:color w:val="000000"/>
          <w:sz w:val="32"/>
          <w:szCs w:val="32"/>
        </w:rPr>
      </w:pPr>
      <w:r>
        <w:rPr>
          <w:rFonts w:ascii="仿宋" w:eastAsia="仿宋" w:hAnsi="仿宋" w:cs="仿宋" w:hint="eastAsia"/>
          <w:b/>
          <w:color w:val="000000"/>
          <w:sz w:val="32"/>
          <w:szCs w:val="32"/>
        </w:rPr>
        <w:t>一、引导基金相关机构</w:t>
      </w:r>
    </w:p>
    <w:p w14:paraId="71CE28FE"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增城区推动经济高质量发展引导基金监督管理小组（以下简称“管理小组”）作为引导基金的主管机构，管理小组下设管理小组办公室（以下简称“办公室”），办公室设在开发区投资促进局。广州南粤基金集团有限公司受托作为引导基金管理机构，即引导基金管理人（以下简称“南粤基金”），受托管理引导基金并负责引导基金的日常运营。由引导基金参与投资的基金统称为引导基金的子基金（以下简称“子基金”）。</w:t>
      </w:r>
    </w:p>
    <w:p w14:paraId="0D078CDE" w14:textId="77777777" w:rsidR="006F0079" w:rsidRDefault="00000000">
      <w:pPr>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二、引导基金投资要求</w:t>
      </w:r>
    </w:p>
    <w:p w14:paraId="75B3C609"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引导基金采取母基金运作方式，包括通过参股投资方</w:t>
      </w:r>
      <w:r>
        <w:rPr>
          <w:rFonts w:ascii="仿宋" w:eastAsia="仿宋" w:hAnsi="仿宋" w:cs="仿宋" w:hint="eastAsia"/>
          <w:bCs/>
          <w:color w:val="000000"/>
          <w:sz w:val="32"/>
          <w:szCs w:val="32"/>
        </w:rPr>
        <w:lastRenderedPageBreak/>
        <w:t>式，引导社会资本共同在增城区发起设立子基金;或者通过增资、受让股权（或合伙企业财产份额）等方式参股投资已经成立的股权投资基金。引导基金投资的主要要求如下：</w:t>
      </w:r>
    </w:p>
    <w:p w14:paraId="0CC1399D"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（一）注册地。新设的</w:t>
      </w:r>
      <w:r>
        <w:rPr>
          <w:rFonts w:ascii="仿宋" w:eastAsia="仿宋" w:hAnsi="仿宋" w:cs="仿宋"/>
          <w:bCs/>
          <w:color w:val="000000"/>
          <w:sz w:val="32"/>
          <w:szCs w:val="32"/>
        </w:rPr>
        <w:t>子基金应在</w:t>
      </w:r>
      <w:r>
        <w:rPr>
          <w:rFonts w:ascii="仿宋" w:eastAsia="仿宋" w:hAnsi="仿宋" w:cs="仿宋" w:hint="eastAsia"/>
          <w:bCs/>
          <w:color w:val="000000"/>
          <w:sz w:val="32"/>
          <w:szCs w:val="32"/>
        </w:rPr>
        <w:t>增城</w:t>
      </w:r>
      <w:r>
        <w:rPr>
          <w:rFonts w:ascii="仿宋" w:eastAsia="仿宋" w:hAnsi="仿宋" w:cs="仿宋"/>
          <w:bCs/>
          <w:color w:val="000000"/>
          <w:sz w:val="32"/>
          <w:szCs w:val="32"/>
        </w:rPr>
        <w:t>区</w:t>
      </w:r>
      <w:r>
        <w:rPr>
          <w:rFonts w:ascii="仿宋" w:eastAsia="仿宋" w:hAnsi="仿宋" w:cs="仿宋" w:hint="eastAsia"/>
          <w:bCs/>
          <w:color w:val="000000"/>
          <w:sz w:val="32"/>
          <w:szCs w:val="32"/>
        </w:rPr>
        <w:t>的广州中小微企业金融服务区内</w:t>
      </w:r>
      <w:r>
        <w:rPr>
          <w:rFonts w:ascii="仿宋" w:eastAsia="仿宋" w:hAnsi="仿宋" w:cs="仿宋"/>
          <w:bCs/>
          <w:color w:val="000000"/>
          <w:sz w:val="32"/>
          <w:szCs w:val="32"/>
        </w:rPr>
        <w:t>注册</w:t>
      </w:r>
      <w:r>
        <w:rPr>
          <w:rFonts w:ascii="仿宋" w:eastAsia="仿宋" w:hAnsi="仿宋" w:cs="仿宋" w:hint="eastAsia"/>
          <w:bCs/>
          <w:color w:val="000000"/>
          <w:sz w:val="32"/>
          <w:szCs w:val="32"/>
        </w:rPr>
        <w:t>；通过增资、受让股权（或合伙企业财产份额）等方式参股投资已经成立的股权投资基金，子基金需将注册地迁至增城区的广州中小微企业金融服务区内。</w:t>
      </w:r>
    </w:p>
    <w:p w14:paraId="6BCBF6B4"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（二）基金规模。引导基金投资单个子基金的最高出资额原则上不超过5000万元人民币，且不能成为第一大股东。</w:t>
      </w:r>
    </w:p>
    <w:p w14:paraId="0AC439DA"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（三）基金投向。增城区推动经济高质量发展引导基金投资于以下方向：</w:t>
      </w:r>
    </w:p>
    <w:p w14:paraId="24EC0763"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1、战略性新兴产业。新一代信息技术、人工智能、生物与健康产业、新材料与高端装备制造、新能源与节能环保、时尚创意、新能源汽车。</w:t>
      </w:r>
    </w:p>
    <w:p w14:paraId="0DE4145E"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2、现代服务业。金融业、物流业、信息服务业、电子商务、商务服务业、会展业、科技服务业、文化产业、知识产权服务业、旅游业、体育产业、健康产业。</w:t>
      </w:r>
    </w:p>
    <w:p w14:paraId="01EE24DB"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3、广州制造2025。智能装备及机器人、新一代信息技术、节能与新能源汽车、新材料与精细化工、生物医药与健康医疗、能源及环保装备、轨道交通、高端船舶与海洋工程装备、航空与卫星应用、都市消费工业。</w:t>
      </w:r>
    </w:p>
    <w:p w14:paraId="28089CB5"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4、其他方向。数字经济、大数据企业；超视堺新型显</w:t>
      </w:r>
      <w:r>
        <w:rPr>
          <w:rFonts w:ascii="仿宋" w:eastAsia="仿宋" w:hAnsi="仿宋" w:cs="仿宋" w:hint="eastAsia"/>
          <w:bCs/>
          <w:color w:val="000000"/>
          <w:sz w:val="32"/>
          <w:szCs w:val="32"/>
        </w:rPr>
        <w:lastRenderedPageBreak/>
        <w:t>示项目有关半导体、电子及信息通信、精细化工及功能性材料、精密机械及光学仪器等上游产业，以及智能家居、医疗、工业互联网等下游产业。</w:t>
      </w:r>
    </w:p>
    <w:p w14:paraId="6D70999B"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（四）存续期限。子基金的存续期限不少于3年，最长不得超过引导基金的到期期限。</w:t>
      </w:r>
    </w:p>
    <w:p w14:paraId="13C1B597"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（五）投资比例。子基金存续期内，投资于增城区内注册企业的资金总额不得低于引导基金参股出资的金额。</w:t>
      </w:r>
    </w:p>
    <w:p w14:paraId="09601316"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（六）项目投资期限。子基金需在自引导基金以参股投资方式形成子基金的股权后的3年内完成项目投资，且项目退出时间需早于子基金的到期期限。</w:t>
      </w:r>
    </w:p>
    <w:p w14:paraId="45C8F36E"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（七）委托管理。子基金治理结构必须符合法律要求，委托专业管理机构负责子基金的日常投资和管理。</w:t>
      </w:r>
    </w:p>
    <w:p w14:paraId="492FA4E4"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（八）设立方式。子基金可以选择公司制或合伙制形式设立，须严格遵照《中华人民共和国公司法》、《中华人民共和国合伙企业法》等相关法律、法规规定设立和运作。</w:t>
      </w:r>
    </w:p>
    <w:p w14:paraId="43D5A82D"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（九）出资时间。引导基金与其他投资人对子基金的出资应分期同步同比例到位。引导基金和其他社会投资人按照投资协议，将实缴资金分期同比例拨付至子基金账户。</w:t>
      </w:r>
    </w:p>
    <w:p w14:paraId="76A1AF05"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（十）平层结构。子基金各出资方应当按照“利益共享、风险共担”的原则，明确约定收益处理和亏损负担方式。引导基金不向其他出资人承诺投资本金不受损失，不承诺最低收益。</w:t>
      </w:r>
    </w:p>
    <w:p w14:paraId="33C44981"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lastRenderedPageBreak/>
        <w:t>（十一）后续申请。已申请引导基金出资的子基金对外投资金额未达到子基金规模的60%，子基金管理机构不得继续申请引导基金参股投资。</w:t>
      </w:r>
    </w:p>
    <w:p w14:paraId="0C44A8EB"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十二）子基金业务运作报告。子基金管理机构应在每年7月和次年1月向南粤基金提交上半年和上年度子基金业务运作报告;在每年4月前提交上年度经审计的子基金财务报告和银行托管报告。南粤基金视工作需要可委托专业机构对子基金进行审计。</w:t>
      </w:r>
    </w:p>
    <w:p w14:paraId="4110E4B0"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子基金管理机构应当将子基金相关重大事项（具体在子基金章程或合伙协议中约定）向引导基金书面报告（具体报备工作向引导基金受托管理机构南粤基金提交）。子基金管理机构应在子基金完成项目投资事项后1个月内向南粤基金进行项目备案。</w:t>
      </w:r>
    </w:p>
    <w:p w14:paraId="4021F8F2" w14:textId="77777777" w:rsidR="006F0079" w:rsidRDefault="00000000">
      <w:pPr>
        <w:ind w:firstLineChars="200" w:firstLine="643"/>
        <w:rPr>
          <w:rFonts w:ascii="仿宋_GB2312" w:eastAsia="仿宋_GB2312"/>
          <w:b/>
          <w:bCs/>
          <w:sz w:val="32"/>
          <w:szCs w:val="32"/>
        </w:rPr>
      </w:pPr>
      <w:r>
        <w:rPr>
          <w:rFonts w:ascii="仿宋_GB2312" w:eastAsia="仿宋_GB2312" w:hint="eastAsia"/>
          <w:b/>
          <w:bCs/>
          <w:sz w:val="32"/>
          <w:szCs w:val="32"/>
        </w:rPr>
        <w:t>三、申请条件</w:t>
      </w:r>
    </w:p>
    <w:p w14:paraId="725840EA"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（一）申请和引导基金进行合作的子基金管理机构除满足相关法律要求外，还应符合以下条件：</w:t>
      </w:r>
    </w:p>
    <w:p w14:paraId="3EBF4B84"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1、依法设立，注册资本不低于1000万元，且已实缴资金不低于1000万元；</w:t>
      </w:r>
    </w:p>
    <w:p w14:paraId="4BC0E031"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2、公司治理、内控机制和管理制度健全有效，具有丰富的投资管理经验，历史业绩优秀，为投资基金配备专属且稳定的管理团队；</w:t>
      </w:r>
    </w:p>
    <w:p w14:paraId="41659E74"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3、子基金管理机构需在中国基金业协会登记为私募股</w:t>
      </w:r>
      <w:r>
        <w:rPr>
          <w:rFonts w:ascii="仿宋" w:eastAsia="仿宋" w:hAnsi="仿宋" w:cs="仿宋" w:hint="eastAsia"/>
          <w:bCs/>
          <w:color w:val="000000"/>
          <w:sz w:val="32"/>
          <w:szCs w:val="32"/>
        </w:rPr>
        <w:lastRenderedPageBreak/>
        <w:t>权、创业投资基金管理人；</w:t>
      </w:r>
    </w:p>
    <w:p w14:paraId="727C9C22"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4、有健全的激励约束机制、跟进投资机制、资产托管机制和风险隔离机制；</w:t>
      </w:r>
    </w:p>
    <w:p w14:paraId="317EB5F2"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5、未被列入中国证券投资基金业协会异常机构名单；</w:t>
      </w:r>
    </w:p>
    <w:p w14:paraId="6516C679"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6、接受南粤基金涉及投资运作的质询，并根据需要向南粤基金报告有关情况。</w:t>
      </w:r>
    </w:p>
    <w:p w14:paraId="35C90DB0"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（二）新设立子基金申请引导基金出资的，应符合以下条件：</w:t>
      </w:r>
    </w:p>
    <w:p w14:paraId="7D1EEAD5"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1、主要发起人（合伙人，下同）、子基金管理机构、托管银行已基本确定，其他出资人（合伙人，下同）已初步落实，并保证资金按约定及时足额到位。</w:t>
      </w:r>
    </w:p>
    <w:p w14:paraId="2623DBAD"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2、子基金所有出资人均以合法的资金认缴出资，除子基金管理机构外的单个机构出资人出资额不低于300万元人民币，单个自然人出资人出资额不低于100万元人民币，子基金出资人数量符合相关法律规定。所有出资人均以货币形式出资，且全部出资须在3年内到位，</w:t>
      </w:r>
      <w:r>
        <w:rPr>
          <w:rFonts w:ascii="仿宋" w:eastAsia="仿宋" w:hAnsi="仿宋" w:cs="仿宋"/>
          <w:bCs/>
          <w:color w:val="000000"/>
          <w:sz w:val="32"/>
          <w:szCs w:val="32"/>
        </w:rPr>
        <w:t>其中首期出资须在引导基金同意出资后两个月内</w:t>
      </w:r>
      <w:r>
        <w:rPr>
          <w:rFonts w:ascii="仿宋" w:eastAsia="仿宋" w:hAnsi="仿宋" w:cs="仿宋" w:hint="eastAsia"/>
          <w:bCs/>
          <w:color w:val="000000"/>
          <w:sz w:val="32"/>
          <w:szCs w:val="32"/>
        </w:rPr>
        <w:t>到位</w:t>
      </w:r>
      <w:r>
        <w:rPr>
          <w:rFonts w:ascii="仿宋" w:eastAsia="仿宋" w:hAnsi="仿宋" w:cs="仿宋"/>
          <w:bCs/>
          <w:color w:val="000000"/>
          <w:sz w:val="32"/>
          <w:szCs w:val="32"/>
        </w:rPr>
        <w:t>且出资额不低于20%。</w:t>
      </w:r>
      <w:r>
        <w:rPr>
          <w:rFonts w:ascii="仿宋" w:eastAsia="仿宋" w:hAnsi="仿宋" w:cs="仿宋" w:hint="eastAsia"/>
          <w:bCs/>
          <w:color w:val="000000"/>
          <w:sz w:val="32"/>
          <w:szCs w:val="32"/>
        </w:rPr>
        <w:t>在全部出资到位前，引导基金的出资比例不高于其他出资人资金到位比例。</w:t>
      </w:r>
    </w:p>
    <w:p w14:paraId="48AF3DB6"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3、作为子基金管理人的子基金管理机构须对子基金实缴出资，具体出资比例在子基金章程或合伙协议中约定。</w:t>
      </w:r>
    </w:p>
    <w:p w14:paraId="05DF3BFF"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4、作为子基金管理人的子基金管理机构已经具有一定</w:t>
      </w:r>
      <w:r>
        <w:rPr>
          <w:rFonts w:ascii="仿宋" w:eastAsia="仿宋" w:hAnsi="仿宋" w:cs="仿宋" w:hint="eastAsia"/>
          <w:bCs/>
          <w:color w:val="000000"/>
          <w:sz w:val="32"/>
          <w:szCs w:val="32"/>
        </w:rPr>
        <w:lastRenderedPageBreak/>
        <w:t>数量的项目储备并制定了第一阶段的投资计划。</w:t>
      </w:r>
    </w:p>
    <w:p w14:paraId="600D670C"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（三）申请引导基金对现有引导基金进行增资或受让股权（合伙企业财产份额）的，除需符合新设立子基金条件外，还应满足以下条件：</w:t>
      </w:r>
    </w:p>
    <w:p w14:paraId="7D372726"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1、投资基金已按有关法律法规设立，并在中国证券投资基金业协会完成产品备案，且开始投资运作；</w:t>
      </w:r>
    </w:p>
    <w:p w14:paraId="47E5DD4E"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2、投资基金全体出资人首期出资已经到位，且不低于注册资本或承诺出资额的20%。</w:t>
      </w:r>
    </w:p>
    <w:p w14:paraId="5867E6F4" w14:textId="77777777" w:rsidR="006F0079" w:rsidRDefault="00000000">
      <w:pPr>
        <w:ind w:firstLineChars="200" w:firstLine="627"/>
        <w:rPr>
          <w:rFonts w:ascii="仿宋_GB2312" w:eastAsia="仿宋_GB2312" w:cs="Times New Roman"/>
          <w:b/>
          <w:bCs/>
          <w:spacing w:val="-4"/>
          <w:sz w:val="32"/>
          <w:szCs w:val="22"/>
        </w:rPr>
      </w:pPr>
      <w:r>
        <w:rPr>
          <w:rFonts w:ascii="仿宋_GB2312" w:eastAsia="仿宋_GB2312" w:cs="Times New Roman" w:hint="eastAsia"/>
          <w:b/>
          <w:bCs/>
          <w:spacing w:val="-4"/>
          <w:sz w:val="32"/>
          <w:szCs w:val="22"/>
        </w:rPr>
        <w:t>四、引导基金的退出</w:t>
      </w:r>
    </w:p>
    <w:p w14:paraId="251414E1"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（一）引导基金的退出方式</w:t>
      </w:r>
    </w:p>
    <w:p w14:paraId="0E71C758"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1、引导基金投资参股子基金形成的股权（或合伙企业财产份额）在有受让人的情况下可随时退出，可通过到期清算、社会股东回购、股权（或合伙企业财产份额）转让（上市或非上市）等方式实现退出。</w:t>
      </w:r>
    </w:p>
    <w:p w14:paraId="3DF93903"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2、引导基金退出前，子基金已实现盈利的，引导基金应按照出资份额比例获取相应的分红再退出。</w:t>
      </w:r>
    </w:p>
    <w:p w14:paraId="1D0CEADA"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（二）引导基金的提前退出</w:t>
      </w:r>
    </w:p>
    <w:p w14:paraId="139A80F8"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有下述情况之一的，引导基金可无需其他出资人同意，有权选择提前退出：</w:t>
      </w:r>
    </w:p>
    <w:p w14:paraId="2952606B"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1、子基金方案确认后超过1年，子基金未按规定程序和时间要求完成设立手续的；</w:t>
      </w:r>
    </w:p>
    <w:p w14:paraId="5849B6CC"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2、引导基金出资资金拨付子基金账户1年以上，子基</w:t>
      </w:r>
      <w:r>
        <w:rPr>
          <w:rFonts w:ascii="仿宋" w:eastAsia="仿宋" w:hAnsi="仿宋" w:cs="仿宋" w:hint="eastAsia"/>
          <w:bCs/>
          <w:color w:val="000000"/>
          <w:sz w:val="32"/>
          <w:szCs w:val="32"/>
        </w:rPr>
        <w:lastRenderedPageBreak/>
        <w:t>金未开展投资业务的；</w:t>
      </w:r>
    </w:p>
    <w:p w14:paraId="1EF6865B"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3、子基金投资领域和阶段不符合政策目标的；</w:t>
      </w:r>
    </w:p>
    <w:p w14:paraId="728D0727"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4、子基金未按子基金章程约定投资的；</w:t>
      </w:r>
    </w:p>
    <w:p w14:paraId="275868EB"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5、子基金管理机构发生实质性变化的。</w:t>
      </w:r>
    </w:p>
    <w:p w14:paraId="05BDBBB1"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五、子基金的激励惩罚机制</w:t>
      </w:r>
    </w:p>
    <w:p w14:paraId="5AD6313E"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（一）退出定价</w:t>
      </w:r>
    </w:p>
    <w:p w14:paraId="662BFD59"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引导基金以参股投资方式形成子基金的股权后退出，子基金其他出资人享有优先受让引导基金占有份额的权利。引导基金退出时定价如下：</w:t>
      </w:r>
    </w:p>
    <w:p w14:paraId="40A339C4"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1、引导基金投入不超过3年的，转让价格参照引导基金原始投资额与股权转让时同期定期存款利率计算的收益之和确定，计算公式=引导基金出资金额+引导基金出资金额×同期定期存款利率×期限。</w:t>
      </w:r>
    </w:p>
    <w:p w14:paraId="50EBE666"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2、引导基金投入在3年以上不超过5年的，转让价格参照引导基金原始投资额加上同期银行贷款基准利率计算的收益之和确定，计算公式：转让价格=引导基金出资金额+引导基金出资金额×同期贷款基准利率×期限。</w:t>
      </w:r>
    </w:p>
    <w:p w14:paraId="04F2BADD"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3、引导基金投入超过5年的，按照市场化方式退出。</w:t>
      </w:r>
    </w:p>
    <w:p w14:paraId="6EF761A9"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（二）激励机制</w:t>
      </w:r>
    </w:p>
    <w:p w14:paraId="236A8523"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引导基金根据子基金投资于增城区内企业金额与引导基金出资金额的比例（下简称“投资比例”），可将引导基金参股该子基金的80%增值收益（增值收益指回收资金扣减</w:t>
      </w:r>
      <w:r>
        <w:rPr>
          <w:rFonts w:ascii="仿宋" w:eastAsia="仿宋" w:hAnsi="仿宋" w:cs="仿宋" w:hint="eastAsia"/>
          <w:bCs/>
          <w:color w:val="000000"/>
          <w:sz w:val="32"/>
          <w:szCs w:val="32"/>
        </w:rPr>
        <w:lastRenderedPageBreak/>
        <w:t>引导基金投资额、各项税费、子基金管理机构正常奖励部分）按一定比例奖励给子基金管理机构和子基金其他出资人，具体如下：</w:t>
      </w:r>
    </w:p>
    <w:tbl>
      <w:tblPr>
        <w:tblStyle w:val="a9"/>
        <w:tblW w:w="7124" w:type="dxa"/>
        <w:jc w:val="center"/>
        <w:tblLayout w:type="fixed"/>
        <w:tblLook w:val="04A0" w:firstRow="1" w:lastRow="0" w:firstColumn="1" w:lastColumn="0" w:noHBand="0" w:noVBand="1"/>
      </w:tblPr>
      <w:tblGrid>
        <w:gridCol w:w="3460"/>
        <w:gridCol w:w="3664"/>
      </w:tblGrid>
      <w:tr w:rsidR="006F0079" w14:paraId="06457B5A" w14:textId="77777777">
        <w:trPr>
          <w:jc w:val="center"/>
        </w:trPr>
        <w:tc>
          <w:tcPr>
            <w:tcW w:w="3460" w:type="dxa"/>
            <w:vAlign w:val="center"/>
          </w:tcPr>
          <w:p w14:paraId="48824331"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投资比例</w:t>
            </w:r>
          </w:p>
        </w:tc>
        <w:tc>
          <w:tcPr>
            <w:tcW w:w="3664" w:type="dxa"/>
            <w:vAlign w:val="center"/>
          </w:tcPr>
          <w:p w14:paraId="48588079" w14:textId="77777777" w:rsidR="006F0079" w:rsidRDefault="00000000">
            <w:pPr>
              <w:rPr>
                <w:rFonts w:ascii="仿宋" w:eastAsia="仿宋" w:hAnsi="仿宋" w:cs="仿宋"/>
                <w:bCs/>
                <w:color w:val="000000"/>
                <w:sz w:val="32"/>
                <w:szCs w:val="32"/>
              </w:rPr>
            </w:pPr>
            <w:r>
              <w:rPr>
                <w:rFonts w:ascii="仿宋" w:eastAsia="仿宋" w:hAnsi="仿宋" w:cs="仿宋" w:hint="eastAsia"/>
                <w:bCs/>
                <w:color w:val="000000"/>
                <w:sz w:val="32"/>
                <w:szCs w:val="32"/>
              </w:rPr>
              <w:t>80%增值收益的让利比例</w:t>
            </w:r>
          </w:p>
        </w:tc>
      </w:tr>
      <w:tr w:rsidR="006F0079" w14:paraId="439A255E" w14:textId="77777777">
        <w:trPr>
          <w:jc w:val="center"/>
        </w:trPr>
        <w:tc>
          <w:tcPr>
            <w:tcW w:w="3460" w:type="dxa"/>
            <w:vAlign w:val="center"/>
          </w:tcPr>
          <w:p w14:paraId="3299D38F"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100%-120%（含）</w:t>
            </w:r>
          </w:p>
        </w:tc>
        <w:tc>
          <w:tcPr>
            <w:tcW w:w="3664" w:type="dxa"/>
            <w:vAlign w:val="center"/>
          </w:tcPr>
          <w:p w14:paraId="5255E0B3"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20%</w:t>
            </w:r>
          </w:p>
        </w:tc>
      </w:tr>
      <w:tr w:rsidR="006F0079" w14:paraId="3BB15E3E" w14:textId="77777777">
        <w:trPr>
          <w:jc w:val="center"/>
        </w:trPr>
        <w:tc>
          <w:tcPr>
            <w:tcW w:w="3460" w:type="dxa"/>
            <w:vAlign w:val="center"/>
          </w:tcPr>
          <w:p w14:paraId="0B986809"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120%-150%（含）</w:t>
            </w:r>
          </w:p>
        </w:tc>
        <w:tc>
          <w:tcPr>
            <w:tcW w:w="3664" w:type="dxa"/>
            <w:vAlign w:val="center"/>
          </w:tcPr>
          <w:p w14:paraId="70DBCF6C"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30%</w:t>
            </w:r>
          </w:p>
        </w:tc>
      </w:tr>
      <w:tr w:rsidR="006F0079" w14:paraId="2D708653" w14:textId="77777777">
        <w:trPr>
          <w:jc w:val="center"/>
        </w:trPr>
        <w:tc>
          <w:tcPr>
            <w:tcW w:w="3460" w:type="dxa"/>
            <w:vAlign w:val="center"/>
          </w:tcPr>
          <w:p w14:paraId="1E793BAE"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150%-200%（含）</w:t>
            </w:r>
          </w:p>
        </w:tc>
        <w:tc>
          <w:tcPr>
            <w:tcW w:w="3664" w:type="dxa"/>
            <w:vAlign w:val="center"/>
          </w:tcPr>
          <w:p w14:paraId="2BF33CCE"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50%</w:t>
            </w:r>
          </w:p>
        </w:tc>
      </w:tr>
      <w:tr w:rsidR="006F0079" w14:paraId="602CDF70" w14:textId="77777777">
        <w:trPr>
          <w:jc w:val="center"/>
        </w:trPr>
        <w:tc>
          <w:tcPr>
            <w:tcW w:w="3460" w:type="dxa"/>
            <w:vAlign w:val="center"/>
          </w:tcPr>
          <w:p w14:paraId="50DDEFAC"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超过200%</w:t>
            </w:r>
          </w:p>
        </w:tc>
        <w:tc>
          <w:tcPr>
            <w:tcW w:w="3664" w:type="dxa"/>
            <w:vAlign w:val="center"/>
          </w:tcPr>
          <w:p w14:paraId="6D408B4C"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100%</w:t>
            </w:r>
          </w:p>
        </w:tc>
      </w:tr>
    </w:tbl>
    <w:p w14:paraId="3484BD34"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（三）惩罚机制</w:t>
      </w:r>
    </w:p>
    <w:p w14:paraId="635B54D9"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子基金投资在增城区内注册企业的比例不能低于引导基金出资的100%。若子基金在自引导基金以参股投资方式形成子基金股权后的3年内，投资于增城区内注册企业的比例低于引导基金出资的100%的，引导基金无需其他出资人同意即可选择退出，并且引导基金受托管理机构可以采取以下措施：</w:t>
      </w:r>
    </w:p>
    <w:p w14:paraId="41D2E452"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1、要求退回全部出资金额；</w:t>
      </w:r>
    </w:p>
    <w:p w14:paraId="528DEF4F"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2、要求子基金管理机构或（及）子基金其他出资人共计向引导基金支付以同期定期存款利率的2倍计算的违约金，违约金计算公式=引导基金出资金额×同期定期存款利率×2×期限；</w:t>
      </w:r>
    </w:p>
    <w:p w14:paraId="2A229B84"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3、有权永久性取消该子基金管理机构申报增城区产业引导基金的资格；</w:t>
      </w:r>
    </w:p>
    <w:p w14:paraId="0CB4ED6D"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lastRenderedPageBreak/>
        <w:t>4、有权向广州市金融工作局申请将该子基金管理机构列入广州市金融工作局失信名单。</w:t>
      </w:r>
    </w:p>
    <w:p w14:paraId="1405133E" w14:textId="77777777" w:rsidR="006F0079" w:rsidRDefault="00000000">
      <w:pPr>
        <w:ind w:firstLineChars="200" w:firstLine="627"/>
        <w:rPr>
          <w:rFonts w:ascii="仿宋_GB2312" w:eastAsia="仿宋_GB2312" w:cs="Times New Roman"/>
          <w:b/>
          <w:bCs/>
          <w:spacing w:val="-4"/>
          <w:sz w:val="32"/>
          <w:szCs w:val="22"/>
        </w:rPr>
      </w:pPr>
      <w:r>
        <w:rPr>
          <w:rFonts w:ascii="仿宋_GB2312" w:eastAsia="仿宋_GB2312" w:cs="Times New Roman" w:hint="eastAsia"/>
          <w:b/>
          <w:bCs/>
          <w:spacing w:val="-4"/>
          <w:sz w:val="32"/>
          <w:szCs w:val="22"/>
        </w:rPr>
        <w:t>六、引导基金的风险控制</w:t>
      </w:r>
    </w:p>
    <w:p w14:paraId="21BFDE2F"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（一）子基金不得直接或间接从事以下业务：</w:t>
      </w:r>
    </w:p>
    <w:p w14:paraId="58BB6E70"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1、投资于已上市企业股票，所投资的未上市企业上市后，参股基金所持股份未转让及其配售部分除外；</w:t>
      </w:r>
    </w:p>
    <w:p w14:paraId="2988B5D3"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2、从事担保、抵押、委托贷款、房地产（包括购买自用房地产）等业务；</w:t>
      </w:r>
    </w:p>
    <w:p w14:paraId="7CB43225"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3、投资于股票、期货、企业债券、信托产品、非保本理财产品、保险计划及其他金融衍生品；</w:t>
      </w:r>
    </w:p>
    <w:p w14:paraId="27F4B51F"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4、投资于其他投资基金；</w:t>
      </w:r>
    </w:p>
    <w:p w14:paraId="71D52D84"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5、向任何第三人提供赞助、捐赠等；</w:t>
      </w:r>
    </w:p>
    <w:p w14:paraId="1A401731"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6、吸收或变相吸收存款，或向任何第三人提供贷款和资金拆借；</w:t>
      </w:r>
    </w:p>
    <w:p w14:paraId="27C67E8E"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7、进行承担无限连带责任的对外投资；</w:t>
      </w:r>
    </w:p>
    <w:p w14:paraId="04F1D991"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8、发行信托或集合理财产品的形式募集资金；</w:t>
      </w:r>
    </w:p>
    <w:p w14:paraId="4D344A32"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9、其他国家法律法规禁止从事的业务。</w:t>
      </w:r>
    </w:p>
    <w:p w14:paraId="6A0F34AE"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（二）参股子基金的主要发起人不得先于引导基金退出子基金。</w:t>
      </w:r>
    </w:p>
    <w:p w14:paraId="6464F337"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（三）引导基金以出资额为限对子基金债务承担责任，除参股子基金章程（或合伙协议）中约定外，不要求优于其他出资人的额外优惠条款。</w:t>
      </w:r>
    </w:p>
    <w:p w14:paraId="0FD3766D"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lastRenderedPageBreak/>
        <w:t>（四）子基金在发生清算（包括解散和破产）时，按照法律程序清偿债权人的债权后，剩余财产按比例清偿引导基金及子基金其他出资人；当子基金清算出现亏损时，首先由子基金管理机构以其对子基金的出资额承担亏损，剩余由引导基金及子基金其他出资人按出资比例承担。</w:t>
      </w:r>
    </w:p>
    <w:p w14:paraId="3E72E739"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五）引导基金作为出资人，有权委派代表作为观察员参加子基金的投资决策委员会会议，享有查阅子基金档案文件、监督子基金按照相关协议及本办法规定的要求进行投资运作等权利，对违反本协议规定的产业投资领域或禁止从事业务、或者违反子基金章程（或合伙协议）的事项，观察员有权向子基金股东会（或合伙人会议）、董事会或投资决策委员会提出否决意见，子基金根据否决意见</w:t>
      </w:r>
      <w:r>
        <w:rPr>
          <w:rFonts w:ascii="仿宋" w:eastAsia="仿宋" w:hAnsi="仿宋" w:cs="仿宋"/>
          <w:bCs/>
          <w:color w:val="000000"/>
          <w:sz w:val="32"/>
          <w:szCs w:val="32"/>
        </w:rPr>
        <w:t>暂时</w:t>
      </w:r>
      <w:r>
        <w:rPr>
          <w:rFonts w:ascii="仿宋" w:eastAsia="仿宋" w:hAnsi="仿宋" w:cs="仿宋" w:hint="eastAsia"/>
          <w:bCs/>
          <w:color w:val="000000"/>
          <w:sz w:val="32"/>
          <w:szCs w:val="32"/>
        </w:rPr>
        <w:t>停止运作该事项。</w:t>
      </w:r>
      <w:r>
        <w:rPr>
          <w:rFonts w:ascii="仿宋" w:eastAsia="仿宋" w:hAnsi="仿宋" w:cs="仿宋"/>
          <w:bCs/>
          <w:color w:val="000000"/>
          <w:sz w:val="32"/>
          <w:szCs w:val="32"/>
        </w:rPr>
        <w:t>同时</w:t>
      </w:r>
      <w:r>
        <w:rPr>
          <w:rFonts w:ascii="仿宋" w:eastAsia="仿宋" w:hAnsi="仿宋" w:cs="仿宋" w:hint="eastAsia"/>
          <w:bCs/>
          <w:color w:val="000000"/>
          <w:sz w:val="32"/>
          <w:szCs w:val="32"/>
        </w:rPr>
        <w:t>子基金管理机构</w:t>
      </w:r>
      <w:r>
        <w:rPr>
          <w:rFonts w:ascii="仿宋" w:eastAsia="仿宋" w:hAnsi="仿宋" w:cs="仿宋"/>
          <w:bCs/>
          <w:color w:val="000000"/>
          <w:sz w:val="32"/>
          <w:szCs w:val="32"/>
        </w:rPr>
        <w:t>可以书面向南粤基金提出申诉，南粤基金根据调查结果出具裁决意见。</w:t>
      </w:r>
    </w:p>
    <w:p w14:paraId="591D5550"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（六）对引导基金运作中的各种违规行为和子基金主要发起人弄虚作假骗取引导基金或不按规定用途使用、截留挪用、挥霍浪费引导基金等行为，建立责任追究制度。</w:t>
      </w:r>
    </w:p>
    <w:p w14:paraId="555ED592" w14:textId="77777777" w:rsidR="006F0079" w:rsidRDefault="00000000">
      <w:pPr>
        <w:ind w:firstLineChars="200" w:firstLine="627"/>
        <w:rPr>
          <w:rFonts w:ascii="仿宋_GB2312" w:eastAsia="仿宋_GB2312"/>
          <w:b/>
          <w:bCs/>
          <w:spacing w:val="-4"/>
          <w:sz w:val="32"/>
        </w:rPr>
      </w:pPr>
      <w:r>
        <w:rPr>
          <w:rFonts w:ascii="仿宋_GB2312" w:eastAsia="仿宋_GB2312" w:hint="eastAsia"/>
          <w:b/>
          <w:bCs/>
          <w:spacing w:val="-4"/>
          <w:sz w:val="32"/>
        </w:rPr>
        <w:t>七、引导基金的申报与决策流程</w:t>
      </w:r>
    </w:p>
    <w:p w14:paraId="32343761"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（一）公开征集。申报机构按本指南规定统一将申报材料提交报送至南粤基金；</w:t>
      </w:r>
    </w:p>
    <w:p w14:paraId="183D48F3"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（二）尽职调查。南粤基金通过收集申报资料、尽职调查（含现场尽职调查和非现场尽职调查）、内部初审等环节</w:t>
      </w:r>
      <w:r>
        <w:rPr>
          <w:rFonts w:ascii="仿宋" w:eastAsia="仿宋" w:hAnsi="仿宋" w:cs="仿宋" w:hint="eastAsia"/>
          <w:bCs/>
          <w:color w:val="000000"/>
          <w:sz w:val="32"/>
          <w:szCs w:val="32"/>
        </w:rPr>
        <w:lastRenderedPageBreak/>
        <w:t>进行初步筛选，优先考虑过往已投资增城区内企业的申报机构。对不符合《管理办法》或本指南要求的不予通过，对通过初步筛选的申报资料和尽职调查情况提交给评审会评审；</w:t>
      </w:r>
    </w:p>
    <w:p w14:paraId="02245B69"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（三）评审会评审。根据申报资料和尽职调查情况组织评审委员会评审（申请机构应按引导基金要求派员到场参加答辩，否则自行承担不利后果。每个申请机构答辩环节不超过30分钟）；</w:t>
      </w:r>
    </w:p>
    <w:p w14:paraId="47D38969"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（四）管理小组决策。管理小组对经评审会评审的子基金管理机构遴选结果进行决策；</w:t>
      </w:r>
    </w:p>
    <w:p w14:paraId="194B58D1"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（五）社会公示。南粤基金对管理小组决策通过的子基金管理机构进行公示，公示期为3日。</w:t>
      </w:r>
    </w:p>
    <w:p w14:paraId="7A9B01F8" w14:textId="77777777" w:rsidR="006F0079" w:rsidRDefault="00000000">
      <w:pPr>
        <w:ind w:firstLineChars="200" w:firstLine="627"/>
        <w:rPr>
          <w:rFonts w:ascii="仿宋_GB2312" w:eastAsia="仿宋_GB2312"/>
          <w:spacing w:val="-4"/>
          <w:sz w:val="32"/>
        </w:rPr>
      </w:pPr>
      <w:r>
        <w:rPr>
          <w:rFonts w:ascii="仿宋_GB2312" w:eastAsia="仿宋_GB2312" w:hint="eastAsia"/>
          <w:b/>
          <w:bCs/>
          <w:spacing w:val="-4"/>
          <w:sz w:val="32"/>
        </w:rPr>
        <w:t>八、引导基金申报材料的提交与受理</w:t>
      </w:r>
    </w:p>
    <w:p w14:paraId="27A78234"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（一）请按照《增城区推动经济高质量发展引导基金申报材料》（详见附件）规定的内容提交申报材料。申报材料纸质版一式五份（用A4纸张标准准备），全部提交至：</w:t>
      </w:r>
    </w:p>
    <w:p w14:paraId="603AC926"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公司名：广州南粤基金集团有限公司</w:t>
      </w:r>
    </w:p>
    <w:p w14:paraId="4A43A2DA" w14:textId="77777777" w:rsidR="006F0079" w:rsidRPr="00D72C34" w:rsidRDefault="00000000">
      <w:pPr>
        <w:ind w:firstLineChars="200" w:firstLine="640"/>
        <w:rPr>
          <w:rFonts w:ascii="仿宋" w:eastAsia="仿宋" w:hAnsi="仿宋" w:cs="仿宋"/>
          <w:bCs/>
          <w:color w:val="000000"/>
          <w:sz w:val="32"/>
          <w:szCs w:val="32"/>
        </w:rPr>
      </w:pPr>
      <w:r w:rsidRPr="00D72C34">
        <w:rPr>
          <w:rFonts w:ascii="仿宋" w:eastAsia="仿宋" w:hAnsi="仿宋" w:cs="仿宋" w:hint="eastAsia"/>
          <w:bCs/>
          <w:color w:val="000000"/>
          <w:sz w:val="32"/>
          <w:szCs w:val="32"/>
        </w:rPr>
        <w:t>联系人：</w:t>
      </w:r>
      <w:r w:rsidR="00E469F3">
        <w:rPr>
          <w:rFonts w:ascii="仿宋" w:eastAsia="仿宋" w:hAnsi="仿宋" w:cs="仿宋" w:hint="eastAsia"/>
          <w:bCs/>
          <w:color w:val="000000"/>
          <w:sz w:val="32"/>
          <w:szCs w:val="32"/>
        </w:rPr>
        <w:t>黄天雄</w:t>
      </w:r>
      <w:r w:rsidRPr="00D72C34">
        <w:rPr>
          <w:rFonts w:ascii="仿宋" w:eastAsia="仿宋" w:hAnsi="仿宋" w:cs="仿宋" w:hint="eastAsia"/>
          <w:bCs/>
          <w:color w:val="000000"/>
          <w:sz w:val="32"/>
          <w:szCs w:val="32"/>
        </w:rPr>
        <w:t>，联系电话：</w:t>
      </w:r>
      <w:r w:rsidR="00E469F3">
        <w:rPr>
          <w:rFonts w:ascii="仿宋" w:eastAsia="仿宋" w:hAnsi="仿宋" w:cs="仿宋"/>
          <w:bCs/>
          <w:color w:val="000000"/>
          <w:sz w:val="32"/>
          <w:szCs w:val="32"/>
        </w:rPr>
        <w:t>15915899179</w:t>
      </w:r>
    </w:p>
    <w:p w14:paraId="1FCB5C30"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地址：广州市增城区碧桂园中心22楼南粤基金。</w:t>
      </w:r>
    </w:p>
    <w:p w14:paraId="579C72DB"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申报材料电子版（word格式及盖章后扫描的pdf格式）请发送至邮箱nyjj_</w:t>
      </w:r>
      <w:r w:rsidR="00E469F3">
        <w:rPr>
          <w:rFonts w:ascii="仿宋" w:eastAsia="仿宋" w:hAnsi="仿宋" w:cs="仿宋" w:hint="eastAsia"/>
          <w:bCs/>
          <w:color w:val="000000"/>
          <w:sz w:val="32"/>
          <w:szCs w:val="32"/>
        </w:rPr>
        <w:t>htx</w:t>
      </w:r>
      <w:r>
        <w:rPr>
          <w:rFonts w:ascii="仿宋" w:eastAsia="仿宋" w:hAnsi="仿宋" w:cs="仿宋" w:hint="eastAsia"/>
          <w:bCs/>
          <w:color w:val="000000"/>
          <w:sz w:val="32"/>
          <w:szCs w:val="32"/>
        </w:rPr>
        <w:t>@163.com。</w:t>
      </w:r>
    </w:p>
    <w:p w14:paraId="27EF1819"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（二）申报材料一经提交，概不退还。</w:t>
      </w:r>
    </w:p>
    <w:p w14:paraId="1A7C3713"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（三）申报材料的格式要求为：</w:t>
      </w:r>
    </w:p>
    <w:p w14:paraId="2A598C06"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lastRenderedPageBreak/>
        <w:t>1、申报材料按本指南及附件要求准备齐全，没有遗漏。</w:t>
      </w:r>
    </w:p>
    <w:p w14:paraId="485D9DE4"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2、申报材料应按本指南及附件要求填写规范（签名齐全＼盖章齐全＼日期齐全），不能留白，本指南附件与申请机构情况不符合的应直接划掉或填写“不适用”。</w:t>
      </w:r>
    </w:p>
    <w:p w14:paraId="4A7F1A41" w14:textId="369AA356" w:rsidR="006F0079" w:rsidRPr="00D72C34" w:rsidRDefault="00000000">
      <w:pPr>
        <w:ind w:firstLineChars="200" w:firstLine="640"/>
        <w:rPr>
          <w:rFonts w:ascii="仿宋" w:eastAsia="仿宋" w:hAnsi="仿宋" w:cs="仿宋"/>
          <w:bCs/>
          <w:color w:val="000000"/>
          <w:sz w:val="32"/>
          <w:szCs w:val="32"/>
        </w:rPr>
      </w:pPr>
      <w:r w:rsidRPr="00D72C34">
        <w:rPr>
          <w:rFonts w:ascii="仿宋" w:eastAsia="仿宋" w:hAnsi="仿宋" w:cs="仿宋" w:hint="eastAsia"/>
          <w:bCs/>
          <w:color w:val="000000"/>
          <w:sz w:val="32"/>
          <w:szCs w:val="32"/>
        </w:rPr>
        <w:t>（四）本次申请受理（提交申请资料）时间为2023年</w:t>
      </w:r>
      <w:r w:rsidR="00E469F3">
        <w:rPr>
          <w:rFonts w:ascii="仿宋" w:eastAsia="仿宋" w:hAnsi="仿宋" w:cs="仿宋"/>
          <w:bCs/>
          <w:color w:val="000000"/>
          <w:sz w:val="32"/>
          <w:szCs w:val="32"/>
        </w:rPr>
        <w:t>10</w:t>
      </w:r>
      <w:r w:rsidRPr="00D72C34">
        <w:rPr>
          <w:rFonts w:ascii="仿宋" w:eastAsia="仿宋" w:hAnsi="仿宋" w:cs="仿宋" w:hint="eastAsia"/>
          <w:bCs/>
          <w:color w:val="000000"/>
          <w:sz w:val="32"/>
          <w:szCs w:val="32"/>
        </w:rPr>
        <w:t>月</w:t>
      </w:r>
      <w:r w:rsidR="005377CF">
        <w:rPr>
          <w:rFonts w:ascii="仿宋" w:eastAsia="仿宋" w:hAnsi="仿宋" w:cs="仿宋"/>
          <w:bCs/>
          <w:color w:val="000000"/>
          <w:sz w:val="32"/>
          <w:szCs w:val="32"/>
        </w:rPr>
        <w:t>22</w:t>
      </w:r>
      <w:r w:rsidRPr="00D72C34">
        <w:rPr>
          <w:rFonts w:ascii="仿宋" w:eastAsia="仿宋" w:hAnsi="仿宋" w:cs="仿宋" w:hint="eastAsia"/>
          <w:bCs/>
          <w:color w:val="000000"/>
          <w:sz w:val="32"/>
          <w:szCs w:val="32"/>
        </w:rPr>
        <w:t>日24时前。</w:t>
      </w:r>
      <w:r w:rsidRPr="00D72C34">
        <w:rPr>
          <w:rFonts w:ascii="仿宋" w:eastAsia="仿宋" w:hAnsi="仿宋" w:cs="仿宋"/>
          <w:bCs/>
          <w:color w:val="000000"/>
          <w:sz w:val="32"/>
          <w:szCs w:val="32"/>
        </w:rPr>
        <w:t xml:space="preserve"> </w:t>
      </w:r>
    </w:p>
    <w:p w14:paraId="091F1512"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（五）特别说明</w:t>
      </w:r>
    </w:p>
    <w:p w14:paraId="087804C5"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本指南未尽事宜，遵照《管理办法》规定处理。</w:t>
      </w:r>
    </w:p>
    <w:p w14:paraId="7F5BBA00"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南粤基金在法律允许的范围内，对本指南及相关事项具有最终解释权。</w:t>
      </w:r>
    </w:p>
    <w:p w14:paraId="7CFB9A4B" w14:textId="77777777" w:rsidR="006F0079" w:rsidRDefault="00000000">
      <w:pPr>
        <w:ind w:firstLineChars="200" w:firstLine="640"/>
        <w:rPr>
          <w:rFonts w:ascii="仿宋" w:eastAsia="仿宋" w:hAnsi="仿宋" w:cs="仿宋"/>
          <w:bCs/>
          <w:color w:val="000000"/>
          <w:sz w:val="32"/>
          <w:szCs w:val="32"/>
        </w:rPr>
      </w:pPr>
      <w:r>
        <w:rPr>
          <w:rFonts w:ascii="仿宋" w:eastAsia="仿宋" w:hAnsi="仿宋" w:cs="仿宋" w:hint="eastAsia"/>
          <w:bCs/>
          <w:color w:val="000000"/>
          <w:sz w:val="32"/>
          <w:szCs w:val="32"/>
        </w:rPr>
        <w:t>申请机构应清晰及遵守《管理办法》及本指南的规定。申请机构提交申请即意味接受《管理办法》及本指南的约束。</w:t>
      </w:r>
    </w:p>
    <w:p w14:paraId="5B5B18AB" w14:textId="77777777" w:rsidR="006F0079" w:rsidRDefault="006F0079">
      <w:pPr>
        <w:ind w:firstLineChars="200" w:firstLine="624"/>
        <w:rPr>
          <w:rFonts w:ascii="仿宋" w:eastAsia="仿宋" w:hAnsi="仿宋"/>
          <w:spacing w:val="-4"/>
          <w:sz w:val="32"/>
        </w:rPr>
      </w:pPr>
    </w:p>
    <w:p w14:paraId="50CE47D7" w14:textId="77777777" w:rsidR="006F0079" w:rsidRDefault="00000000">
      <w:pPr>
        <w:ind w:firstLineChars="200" w:firstLine="624"/>
        <w:jc w:val="right"/>
        <w:rPr>
          <w:rFonts w:ascii="仿宋" w:eastAsia="仿宋" w:hAnsi="仿宋"/>
          <w:spacing w:val="-4"/>
          <w:sz w:val="32"/>
        </w:rPr>
      </w:pPr>
      <w:r>
        <w:rPr>
          <w:rFonts w:ascii="仿宋" w:eastAsia="仿宋" w:hAnsi="仿宋" w:hint="eastAsia"/>
          <w:spacing w:val="-4"/>
          <w:sz w:val="32"/>
        </w:rPr>
        <w:t>广州南粤基金集团有限公司</w:t>
      </w:r>
    </w:p>
    <w:p w14:paraId="14A6D647" w14:textId="77777777" w:rsidR="006F0079" w:rsidRPr="00D72C34" w:rsidRDefault="00D72C34">
      <w:pPr>
        <w:ind w:firstLineChars="200" w:firstLine="624"/>
        <w:jc w:val="right"/>
        <w:rPr>
          <w:rFonts w:ascii="仿宋" w:eastAsia="仿宋" w:hAnsi="仿宋"/>
          <w:spacing w:val="-4"/>
          <w:sz w:val="32"/>
        </w:rPr>
      </w:pPr>
      <w:r w:rsidRPr="00D72C34">
        <w:rPr>
          <w:rFonts w:ascii="仿宋" w:eastAsia="仿宋" w:hAnsi="仿宋"/>
          <w:spacing w:val="-4"/>
          <w:sz w:val="32"/>
        </w:rPr>
        <w:t xml:space="preserve"> </w:t>
      </w:r>
      <w:r w:rsidRPr="00D72C34">
        <w:rPr>
          <w:rFonts w:ascii="仿宋" w:eastAsia="仿宋" w:hAnsi="仿宋" w:hint="eastAsia"/>
          <w:spacing w:val="-4"/>
          <w:sz w:val="32"/>
        </w:rPr>
        <w:t>年</w:t>
      </w:r>
      <w:r w:rsidRPr="00D72C34">
        <w:rPr>
          <w:rFonts w:ascii="仿宋" w:eastAsia="仿宋" w:hAnsi="仿宋"/>
          <w:spacing w:val="-4"/>
          <w:sz w:val="32"/>
        </w:rPr>
        <w:t xml:space="preserve">  </w:t>
      </w:r>
      <w:r w:rsidRPr="00D72C34">
        <w:rPr>
          <w:rFonts w:ascii="仿宋" w:eastAsia="仿宋" w:hAnsi="仿宋" w:hint="eastAsia"/>
          <w:spacing w:val="-4"/>
          <w:sz w:val="32"/>
        </w:rPr>
        <w:t>月</w:t>
      </w:r>
      <w:r w:rsidRPr="00D72C34">
        <w:rPr>
          <w:rFonts w:ascii="仿宋" w:eastAsia="仿宋" w:hAnsi="仿宋"/>
          <w:spacing w:val="-4"/>
          <w:sz w:val="32"/>
        </w:rPr>
        <w:t xml:space="preserve">  </w:t>
      </w:r>
      <w:r w:rsidRPr="00D72C34">
        <w:rPr>
          <w:rFonts w:ascii="仿宋" w:eastAsia="仿宋" w:hAnsi="仿宋" w:hint="eastAsia"/>
          <w:spacing w:val="-4"/>
          <w:sz w:val="32"/>
        </w:rPr>
        <w:t>日</w:t>
      </w:r>
    </w:p>
    <w:p w14:paraId="5F772D18" w14:textId="77777777" w:rsidR="006F0079" w:rsidRDefault="00000000">
      <w:pPr>
        <w:widowControl/>
        <w:jc w:val="left"/>
        <w:rPr>
          <w:rFonts w:ascii="仿宋_GB2312" w:eastAsia="仿宋_GB2312"/>
          <w:spacing w:val="-4"/>
          <w:sz w:val="32"/>
        </w:rPr>
      </w:pPr>
      <w:r>
        <w:rPr>
          <w:rFonts w:ascii="仿宋_GB2312" w:eastAsia="仿宋_GB2312"/>
          <w:spacing w:val="-4"/>
          <w:sz w:val="32"/>
        </w:rPr>
        <w:br w:type="page"/>
      </w:r>
    </w:p>
    <w:p w14:paraId="7A09E09C" w14:textId="77777777" w:rsidR="006F0079" w:rsidRDefault="00000000">
      <w:pPr>
        <w:widowControl/>
        <w:jc w:val="left"/>
        <w:rPr>
          <w:rFonts w:ascii="黑体" w:eastAsia="黑体" w:hAnsi="黑体"/>
          <w:spacing w:val="-4"/>
          <w:sz w:val="32"/>
        </w:rPr>
      </w:pPr>
      <w:r>
        <w:rPr>
          <w:rFonts w:ascii="黑体" w:eastAsia="黑体" w:hAnsi="黑体" w:hint="eastAsia"/>
          <w:spacing w:val="-4"/>
          <w:sz w:val="32"/>
        </w:rPr>
        <w:lastRenderedPageBreak/>
        <w:t>附件</w:t>
      </w:r>
    </w:p>
    <w:p w14:paraId="67FABA47" w14:textId="77777777" w:rsidR="006F0079" w:rsidRDefault="00000000">
      <w:pPr>
        <w:widowControl/>
        <w:jc w:val="left"/>
        <w:rPr>
          <w:rFonts w:ascii="仿宋_GB2312" w:eastAsia="仿宋_GB2312"/>
          <w:spacing w:val="-4"/>
          <w:sz w:val="32"/>
        </w:rPr>
      </w:pPr>
      <w:r>
        <w:rPr>
          <w:rFonts w:ascii="仿宋_GB2312" w:eastAsia="仿宋_GB2312" w:hint="eastAsia"/>
          <w:spacing w:val="-4"/>
          <w:sz w:val="32"/>
        </w:rPr>
        <w:t>1. 申请机构登记表；</w:t>
      </w:r>
    </w:p>
    <w:p w14:paraId="18C92E81" w14:textId="77777777" w:rsidR="006F0079" w:rsidRDefault="00000000">
      <w:pPr>
        <w:widowControl/>
        <w:jc w:val="left"/>
        <w:rPr>
          <w:rFonts w:ascii="仿宋_GB2312" w:eastAsia="仿宋_GB2312"/>
          <w:spacing w:val="-4"/>
          <w:sz w:val="32"/>
        </w:rPr>
      </w:pPr>
      <w:r>
        <w:rPr>
          <w:rFonts w:ascii="仿宋_GB2312" w:eastAsia="仿宋_GB2312" w:hint="eastAsia"/>
          <w:spacing w:val="-4"/>
          <w:sz w:val="32"/>
        </w:rPr>
        <w:t>2. 申请机构简介；</w:t>
      </w:r>
    </w:p>
    <w:p w14:paraId="7909D63D" w14:textId="77777777" w:rsidR="006F0079" w:rsidRDefault="00000000">
      <w:pPr>
        <w:widowControl/>
        <w:jc w:val="left"/>
        <w:rPr>
          <w:rFonts w:ascii="仿宋_GB2312" w:eastAsia="仿宋_GB2312"/>
          <w:spacing w:val="-4"/>
          <w:sz w:val="32"/>
        </w:rPr>
      </w:pPr>
      <w:r>
        <w:rPr>
          <w:rFonts w:ascii="仿宋_GB2312" w:eastAsia="仿宋_GB2312" w:hint="eastAsia"/>
          <w:spacing w:val="-4"/>
          <w:sz w:val="32"/>
        </w:rPr>
        <w:t>3. 子基金设立方案；</w:t>
      </w:r>
    </w:p>
    <w:p w14:paraId="096CD807" w14:textId="77777777" w:rsidR="006F0079" w:rsidRDefault="00000000">
      <w:pPr>
        <w:widowControl/>
        <w:jc w:val="left"/>
        <w:rPr>
          <w:rFonts w:ascii="仿宋_GB2312" w:eastAsia="仿宋_GB2312"/>
          <w:spacing w:val="-4"/>
          <w:sz w:val="32"/>
        </w:rPr>
      </w:pPr>
      <w:r>
        <w:rPr>
          <w:rFonts w:ascii="仿宋_GB2312" w:eastAsia="仿宋_GB2312" w:hint="eastAsia"/>
          <w:spacing w:val="-4"/>
          <w:sz w:val="32"/>
        </w:rPr>
        <w:t>4. 储备投资项目列表；</w:t>
      </w:r>
    </w:p>
    <w:p w14:paraId="2FA82D61" w14:textId="77777777" w:rsidR="006F0079" w:rsidRDefault="00000000">
      <w:pPr>
        <w:widowControl/>
        <w:jc w:val="left"/>
        <w:rPr>
          <w:rFonts w:ascii="仿宋_GB2312" w:eastAsia="仿宋_GB2312"/>
          <w:spacing w:val="-4"/>
          <w:sz w:val="32"/>
        </w:rPr>
      </w:pPr>
      <w:r>
        <w:rPr>
          <w:rFonts w:ascii="仿宋_GB2312" w:eastAsia="仿宋_GB2312" w:hint="eastAsia"/>
          <w:spacing w:val="-4"/>
          <w:sz w:val="32"/>
        </w:rPr>
        <w:t>5. 申请机构投资业绩相关证明材料；</w:t>
      </w:r>
    </w:p>
    <w:p w14:paraId="61E1BBDA" w14:textId="77777777" w:rsidR="006F0079" w:rsidRDefault="00000000">
      <w:pPr>
        <w:widowControl/>
        <w:jc w:val="left"/>
        <w:rPr>
          <w:rFonts w:ascii="仿宋_GB2312" w:eastAsia="仿宋_GB2312"/>
          <w:spacing w:val="-4"/>
          <w:sz w:val="32"/>
        </w:rPr>
      </w:pPr>
      <w:r>
        <w:rPr>
          <w:rFonts w:ascii="仿宋_GB2312" w:eastAsia="仿宋_GB2312"/>
          <w:spacing w:val="-4"/>
          <w:sz w:val="32"/>
        </w:rPr>
        <w:t>6</w:t>
      </w:r>
      <w:r>
        <w:rPr>
          <w:rFonts w:ascii="仿宋_GB2312" w:eastAsia="仿宋_GB2312" w:hint="eastAsia"/>
          <w:spacing w:val="-4"/>
          <w:sz w:val="32"/>
        </w:rPr>
        <w:t>. 申请机构营业执照复印件（正副本）；</w:t>
      </w:r>
    </w:p>
    <w:p w14:paraId="2BF07D54" w14:textId="77777777" w:rsidR="006F0079" w:rsidRDefault="00000000">
      <w:pPr>
        <w:widowControl/>
        <w:jc w:val="left"/>
        <w:rPr>
          <w:rFonts w:ascii="仿宋_GB2312" w:eastAsia="仿宋_GB2312"/>
          <w:spacing w:val="-4"/>
          <w:sz w:val="32"/>
        </w:rPr>
      </w:pPr>
      <w:r>
        <w:rPr>
          <w:rFonts w:ascii="仿宋_GB2312" w:eastAsia="仿宋_GB2312"/>
          <w:spacing w:val="-4"/>
          <w:sz w:val="32"/>
        </w:rPr>
        <w:t>7</w:t>
      </w:r>
      <w:r>
        <w:rPr>
          <w:rFonts w:ascii="仿宋_GB2312" w:eastAsia="仿宋_GB2312" w:hint="eastAsia"/>
          <w:spacing w:val="-4"/>
          <w:sz w:val="32"/>
        </w:rPr>
        <w:t>. 申请机构章程复印件；</w:t>
      </w:r>
    </w:p>
    <w:p w14:paraId="4404BEE8" w14:textId="77777777" w:rsidR="006F0079" w:rsidRDefault="00000000">
      <w:pPr>
        <w:widowControl/>
        <w:jc w:val="left"/>
        <w:rPr>
          <w:rFonts w:ascii="仿宋_GB2312" w:eastAsia="仿宋_GB2312"/>
          <w:spacing w:val="-4"/>
          <w:sz w:val="32"/>
        </w:rPr>
      </w:pPr>
      <w:r>
        <w:rPr>
          <w:rFonts w:ascii="仿宋_GB2312" w:eastAsia="仿宋_GB2312"/>
          <w:spacing w:val="-4"/>
          <w:sz w:val="32"/>
        </w:rPr>
        <w:t>8</w:t>
      </w:r>
      <w:r>
        <w:rPr>
          <w:rFonts w:ascii="仿宋_GB2312" w:eastAsia="仿宋_GB2312" w:hint="eastAsia"/>
          <w:spacing w:val="-4"/>
          <w:sz w:val="32"/>
        </w:rPr>
        <w:t>. 申请机构最新验资报告复印件；</w:t>
      </w:r>
    </w:p>
    <w:p w14:paraId="051C9763" w14:textId="77777777" w:rsidR="006F0079" w:rsidRDefault="00000000">
      <w:pPr>
        <w:widowControl/>
        <w:jc w:val="left"/>
        <w:rPr>
          <w:rFonts w:ascii="仿宋_GB2312" w:eastAsia="仿宋_GB2312"/>
          <w:spacing w:val="-4"/>
          <w:sz w:val="32"/>
        </w:rPr>
      </w:pPr>
      <w:r>
        <w:rPr>
          <w:rFonts w:ascii="仿宋_GB2312" w:eastAsia="仿宋_GB2312"/>
          <w:spacing w:val="-4"/>
          <w:sz w:val="32"/>
        </w:rPr>
        <w:t>9</w:t>
      </w:r>
      <w:r>
        <w:rPr>
          <w:rFonts w:ascii="仿宋_GB2312" w:eastAsia="仿宋_GB2312" w:hint="eastAsia"/>
          <w:spacing w:val="-4"/>
          <w:sz w:val="32"/>
        </w:rPr>
        <w:t>. 申请机构备案证明；</w:t>
      </w:r>
    </w:p>
    <w:p w14:paraId="34E860EC" w14:textId="77777777" w:rsidR="006F0079" w:rsidRDefault="00000000">
      <w:pPr>
        <w:widowControl/>
        <w:jc w:val="left"/>
        <w:rPr>
          <w:rFonts w:ascii="仿宋_GB2312" w:eastAsia="仿宋_GB2312"/>
          <w:spacing w:val="-4"/>
          <w:sz w:val="32"/>
        </w:rPr>
      </w:pPr>
      <w:r>
        <w:rPr>
          <w:rFonts w:ascii="仿宋_GB2312" w:eastAsia="仿宋_GB2312" w:hint="eastAsia"/>
          <w:spacing w:val="-4"/>
          <w:sz w:val="32"/>
        </w:rPr>
        <w:t>1</w:t>
      </w:r>
      <w:r>
        <w:rPr>
          <w:rFonts w:ascii="仿宋_GB2312" w:eastAsia="仿宋_GB2312"/>
          <w:spacing w:val="-4"/>
          <w:sz w:val="32"/>
        </w:rPr>
        <w:t>0</w:t>
      </w:r>
      <w:r>
        <w:rPr>
          <w:rFonts w:ascii="仿宋_GB2312" w:eastAsia="仿宋_GB2312" w:hint="eastAsia"/>
          <w:spacing w:val="-4"/>
          <w:sz w:val="32"/>
        </w:rPr>
        <w:t>. 申请机构内部制度文件；</w:t>
      </w:r>
    </w:p>
    <w:p w14:paraId="51DAFACD" w14:textId="77777777" w:rsidR="006F0079" w:rsidRDefault="00000000">
      <w:pPr>
        <w:widowControl/>
        <w:jc w:val="left"/>
        <w:rPr>
          <w:rFonts w:ascii="仿宋_GB2312" w:eastAsia="仿宋_GB2312"/>
          <w:spacing w:val="-4"/>
          <w:sz w:val="32"/>
        </w:rPr>
      </w:pPr>
      <w:r>
        <w:rPr>
          <w:rFonts w:ascii="仿宋_GB2312" w:eastAsia="仿宋_GB2312" w:hint="eastAsia"/>
          <w:spacing w:val="-4"/>
          <w:sz w:val="32"/>
        </w:rPr>
        <w:t>1</w:t>
      </w:r>
      <w:r>
        <w:rPr>
          <w:rFonts w:ascii="仿宋_GB2312" w:eastAsia="仿宋_GB2312"/>
          <w:spacing w:val="-4"/>
          <w:sz w:val="32"/>
        </w:rPr>
        <w:t>1</w:t>
      </w:r>
      <w:r>
        <w:rPr>
          <w:rFonts w:ascii="仿宋_GB2312" w:eastAsia="仿宋_GB2312" w:hint="eastAsia"/>
          <w:spacing w:val="-4"/>
          <w:sz w:val="32"/>
        </w:rPr>
        <w:t>. 申请机构最近三年经营情况（表）及审计报告；</w:t>
      </w:r>
    </w:p>
    <w:p w14:paraId="58D465BC" w14:textId="77777777" w:rsidR="006F0079" w:rsidRDefault="00000000">
      <w:pPr>
        <w:widowControl/>
        <w:jc w:val="left"/>
        <w:rPr>
          <w:rFonts w:ascii="仿宋_GB2312" w:eastAsia="仿宋_GB2312"/>
          <w:spacing w:val="-4"/>
          <w:sz w:val="32"/>
        </w:rPr>
      </w:pPr>
      <w:r>
        <w:rPr>
          <w:rFonts w:ascii="仿宋_GB2312" w:eastAsia="仿宋_GB2312" w:hint="eastAsia"/>
          <w:spacing w:val="-4"/>
          <w:sz w:val="32"/>
        </w:rPr>
        <w:t>1</w:t>
      </w:r>
      <w:r>
        <w:rPr>
          <w:rFonts w:ascii="仿宋_GB2312" w:eastAsia="仿宋_GB2312"/>
          <w:spacing w:val="-4"/>
          <w:sz w:val="32"/>
        </w:rPr>
        <w:t>2</w:t>
      </w:r>
      <w:r>
        <w:rPr>
          <w:rFonts w:ascii="仿宋_GB2312" w:eastAsia="仿宋_GB2312" w:hint="eastAsia"/>
          <w:spacing w:val="-4"/>
          <w:sz w:val="32"/>
        </w:rPr>
        <w:t>. 申请机构有关诉讼或相关风险事项说明；</w:t>
      </w:r>
    </w:p>
    <w:p w14:paraId="674FC046" w14:textId="77777777" w:rsidR="006F0079" w:rsidRDefault="00000000">
      <w:pPr>
        <w:widowControl/>
        <w:jc w:val="left"/>
        <w:rPr>
          <w:rFonts w:ascii="仿宋_GB2312" w:eastAsia="仿宋_GB2312"/>
          <w:spacing w:val="-4"/>
          <w:sz w:val="32"/>
        </w:rPr>
      </w:pPr>
      <w:r>
        <w:rPr>
          <w:rFonts w:ascii="仿宋_GB2312" w:eastAsia="仿宋_GB2312" w:hint="eastAsia"/>
          <w:spacing w:val="-4"/>
          <w:sz w:val="32"/>
        </w:rPr>
        <w:t>1</w:t>
      </w:r>
      <w:r>
        <w:rPr>
          <w:rFonts w:ascii="仿宋_GB2312" w:eastAsia="仿宋_GB2312"/>
          <w:spacing w:val="-4"/>
          <w:sz w:val="32"/>
        </w:rPr>
        <w:t>3</w:t>
      </w:r>
      <w:r>
        <w:rPr>
          <w:rFonts w:ascii="仿宋_GB2312" w:eastAsia="仿宋_GB2312" w:hint="eastAsia"/>
          <w:spacing w:val="-4"/>
          <w:sz w:val="32"/>
        </w:rPr>
        <w:t>. 其它需说明事项。</w:t>
      </w:r>
    </w:p>
    <w:p w14:paraId="79903B9B" w14:textId="77777777" w:rsidR="006F0079" w:rsidRDefault="00000000">
      <w:pPr>
        <w:widowControl/>
        <w:jc w:val="left"/>
        <w:rPr>
          <w:rFonts w:ascii="仿宋_GB2312" w:eastAsia="仿宋_GB2312"/>
          <w:spacing w:val="-4"/>
          <w:sz w:val="32"/>
        </w:rPr>
      </w:pPr>
      <w:r>
        <w:rPr>
          <w:rFonts w:ascii="仿宋_GB2312" w:eastAsia="仿宋_GB2312" w:hint="eastAsia"/>
          <w:spacing w:val="-4"/>
          <w:sz w:val="32"/>
        </w:rPr>
        <w:t>1</w:t>
      </w:r>
      <w:r>
        <w:rPr>
          <w:rFonts w:ascii="仿宋_GB2312" w:eastAsia="仿宋_GB2312"/>
          <w:spacing w:val="-4"/>
          <w:sz w:val="32"/>
        </w:rPr>
        <w:t>4</w:t>
      </w:r>
      <w:r>
        <w:rPr>
          <w:rFonts w:ascii="仿宋_GB2312" w:eastAsia="仿宋_GB2312" w:hint="eastAsia"/>
          <w:spacing w:val="-4"/>
          <w:sz w:val="32"/>
        </w:rPr>
        <w:t>. 名称核准证明</w:t>
      </w:r>
    </w:p>
    <w:sectPr w:rsidR="006F00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93B57" w14:textId="77777777" w:rsidR="0096032F" w:rsidRDefault="0096032F" w:rsidP="00D72C34">
      <w:r>
        <w:separator/>
      </w:r>
    </w:p>
  </w:endnote>
  <w:endnote w:type="continuationSeparator" w:id="0">
    <w:p w14:paraId="29C82989" w14:textId="77777777" w:rsidR="0096032F" w:rsidRDefault="0096032F" w:rsidP="00D7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E2F0D" w14:textId="77777777" w:rsidR="0096032F" w:rsidRDefault="0096032F" w:rsidP="00D72C34">
      <w:r>
        <w:separator/>
      </w:r>
    </w:p>
  </w:footnote>
  <w:footnote w:type="continuationSeparator" w:id="0">
    <w:p w14:paraId="777793C1" w14:textId="77777777" w:rsidR="0096032F" w:rsidRDefault="0096032F" w:rsidP="00D72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E41"/>
    <w:rsid w:val="00012408"/>
    <w:rsid w:val="002C28DD"/>
    <w:rsid w:val="002F782F"/>
    <w:rsid w:val="003424EE"/>
    <w:rsid w:val="003A6454"/>
    <w:rsid w:val="004749A8"/>
    <w:rsid w:val="005005BB"/>
    <w:rsid w:val="005377CF"/>
    <w:rsid w:val="006F0079"/>
    <w:rsid w:val="007661F9"/>
    <w:rsid w:val="00843CBE"/>
    <w:rsid w:val="008B2683"/>
    <w:rsid w:val="009228DD"/>
    <w:rsid w:val="0096032F"/>
    <w:rsid w:val="00BD1495"/>
    <w:rsid w:val="00C43E41"/>
    <w:rsid w:val="00CA3FE6"/>
    <w:rsid w:val="00CC404D"/>
    <w:rsid w:val="00D72C34"/>
    <w:rsid w:val="00E469F3"/>
    <w:rsid w:val="00E503E8"/>
    <w:rsid w:val="00F855F1"/>
    <w:rsid w:val="2DA15618"/>
    <w:rsid w:val="6FA73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DAD3"/>
  <w15:docId w15:val="{47EAD7B7-F2E3-41A3-8808-39A09FD8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pP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000FF"/>
      <w:u w:val="single"/>
    </w:rPr>
  </w:style>
  <w:style w:type="character" w:customStyle="1" w:styleId="a7">
    <w:name w:val="页眉 字符"/>
    <w:basedOn w:val="a0"/>
    <w:link w:val="a6"/>
    <w:rPr>
      <w:rFonts w:cs="宋体"/>
      <w:kern w:val="2"/>
      <w:sz w:val="18"/>
      <w:szCs w:val="18"/>
    </w:rPr>
  </w:style>
  <w:style w:type="character" w:customStyle="1" w:styleId="a5">
    <w:name w:val="页脚 字符"/>
    <w:basedOn w:val="a0"/>
    <w:link w:val="a4"/>
    <w:qFormat/>
    <w:rPr>
      <w:rFonts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13</Pages>
  <Words>841</Words>
  <Characters>4796</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Shawn Huang</cp:lastModifiedBy>
  <cp:revision>13</cp:revision>
  <dcterms:created xsi:type="dcterms:W3CDTF">2014-10-29T12:08:00Z</dcterms:created>
  <dcterms:modified xsi:type="dcterms:W3CDTF">2023-10-16T09:23:00Z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